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5F03C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DD68BE">
        <w:rPr>
          <w:rFonts w:eastAsia="Calibri"/>
          <w:b/>
          <w:bCs/>
        </w:rPr>
        <w:t>6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DD68BE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21</w:t>
      </w:r>
      <w:r w:rsidR="00EC5AD6" w:rsidRPr="00EA7E09">
        <w:rPr>
          <w:rFonts w:eastAsia="Calibri"/>
          <w:kern w:val="2"/>
        </w:rPr>
        <w:t xml:space="preserve"> </w:t>
      </w:r>
      <w:r w:rsidR="00F27129"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9A4EAC" w:rsidRPr="00BA46B4" w:rsidRDefault="009A4EAC" w:rsidP="005F03C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  <w:bookmarkStart w:id="0" w:name="_Hlk485125547"/>
      <w:r>
        <w:rPr>
          <w:rFonts w:eastAsia="Lucida Sans Unicode"/>
          <w:kern w:val="1"/>
        </w:rPr>
        <w:t>Прием в члены АСО «АСП»</w:t>
      </w:r>
      <w:r w:rsidR="007C547F">
        <w:rPr>
          <w:rFonts w:eastAsia="Lucida Sans Unicode"/>
          <w:kern w:val="1"/>
        </w:rPr>
        <w:t xml:space="preserve"> и </w:t>
      </w:r>
      <w:bookmarkStart w:id="1" w:name="_Hlk485286459"/>
      <w:r w:rsidR="007C547F">
        <w:rPr>
          <w:rFonts w:eastAsia="Lucida Sans Unicode"/>
          <w:kern w:val="1"/>
        </w:rPr>
        <w:t>выдача Свидетельства о допуске</w:t>
      </w:r>
      <w:r>
        <w:rPr>
          <w:rFonts w:eastAsia="Lucida Sans Unicode"/>
          <w:kern w:val="1"/>
        </w:rPr>
        <w:t xml:space="preserve">: </w:t>
      </w:r>
      <w:bookmarkEnd w:id="1"/>
      <w:r w:rsidR="005F03CE">
        <w:rPr>
          <w:rFonts w:eastAsia="Lucida Sans Unicode"/>
          <w:b/>
          <w:kern w:val="1"/>
        </w:rPr>
        <w:t>ООО «</w:t>
      </w:r>
      <w:r w:rsidR="00F81A87" w:rsidRPr="00F81A87">
        <w:rPr>
          <w:rFonts w:eastAsia="Lucida Sans Unicode"/>
          <w:b/>
          <w:bCs/>
          <w:kern w:val="1"/>
        </w:rPr>
        <w:fldChar w:fldCharType="begin"/>
      </w:r>
      <w:r w:rsidR="00F81A87" w:rsidRPr="00F81A87">
        <w:rPr>
          <w:rFonts w:eastAsia="Lucida Sans Unicode"/>
          <w:b/>
          <w:bCs/>
          <w:kern w:val="1"/>
        </w:rPr>
        <w:instrText xml:space="preserve"> DOCVARIABLE  КонтрагентКому  \* MERGEFORMAT </w:instrText>
      </w:r>
      <w:r w:rsidR="00F81A87" w:rsidRPr="00F81A87">
        <w:rPr>
          <w:rFonts w:eastAsia="Lucida Sans Unicode"/>
          <w:b/>
          <w:bCs/>
          <w:kern w:val="1"/>
        </w:rPr>
        <w:fldChar w:fldCharType="separate"/>
      </w:r>
      <w:r w:rsidR="00F81A87" w:rsidRPr="00F81A87">
        <w:rPr>
          <w:rFonts w:eastAsia="Lucida Sans Unicode"/>
          <w:b/>
          <w:kern w:val="1"/>
        </w:rPr>
        <w:fldChar w:fldCharType="end"/>
      </w:r>
      <w:r w:rsidR="00F81A87" w:rsidRPr="00F81A87">
        <w:rPr>
          <w:rFonts w:eastAsia="Lucida Sans Unicode"/>
          <w:b/>
          <w:bCs/>
          <w:kern w:val="1"/>
        </w:rPr>
        <w:t>Комплексные энергетические решения – Дальний Восток</w:t>
      </w:r>
      <w:bookmarkStart w:id="2" w:name="_GoBack"/>
      <w:bookmarkEnd w:id="2"/>
      <w:r w:rsidR="005F03CE">
        <w:rPr>
          <w:rFonts w:eastAsia="Lucida Sans Unicode"/>
          <w:b/>
          <w:kern w:val="1"/>
        </w:rPr>
        <w:t>».</w:t>
      </w:r>
    </w:p>
    <w:bookmarkEnd w:id="0"/>
    <w:p w:rsidR="00E9001A" w:rsidRPr="00E03A56" w:rsidRDefault="00E03A56" w:rsidP="00E03A56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</w:rPr>
      </w:pPr>
      <w:r>
        <w:rPr>
          <w:rFonts w:eastAsia="Calibri"/>
          <w:b/>
          <w:bCs/>
          <w:kern w:val="2"/>
        </w:rPr>
        <w:t xml:space="preserve">     </w:t>
      </w:r>
      <w:r w:rsidR="00E9001A" w:rsidRPr="00E03A56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color w:val="000000" w:themeColor="text1"/>
          <w:kern w:val="2"/>
        </w:rPr>
      </w:pPr>
      <w:bookmarkStart w:id="3" w:name="_Hlk483832006"/>
      <w:bookmarkStart w:id="4" w:name="_Hlk483832162"/>
      <w:bookmarkStart w:id="5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F03CE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bookmarkStart w:id="6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6"/>
    <w:p w:rsidR="002F0E4B" w:rsidRDefault="00E9001A" w:rsidP="005F03CE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>Постановили</w:t>
      </w:r>
      <w:bookmarkEnd w:id="3"/>
      <w:r w:rsidR="007C547F">
        <w:rPr>
          <w:rFonts w:eastAsia="Lucida Sans Unicode"/>
          <w:kern w:val="1"/>
        </w:rPr>
        <w:t xml:space="preserve">: </w:t>
      </w:r>
      <w:r w:rsidR="00BA46B4">
        <w:rPr>
          <w:rFonts w:eastAsia="Lucida Sans Unicode"/>
          <w:kern w:val="1"/>
        </w:rPr>
        <w:t>Принять в члены и вы</w:t>
      </w:r>
      <w:r w:rsidR="00510B29">
        <w:rPr>
          <w:rFonts w:eastAsia="Lucida Sans Unicode"/>
          <w:kern w:val="1"/>
        </w:rPr>
        <w:t>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5F03CE">
      <w:pPr>
        <w:widowControl w:val="0"/>
        <w:tabs>
          <w:tab w:val="left" w:pos="5529"/>
        </w:tabs>
        <w:spacing w:line="240" w:lineRule="atLeast"/>
        <w:ind w:left="284" w:right="-283"/>
        <w:rPr>
          <w:rFonts w:eastAsia="Lucida Sans Unicode"/>
          <w:b/>
          <w:bCs/>
          <w:kern w:val="2"/>
        </w:rPr>
      </w:pPr>
      <w:bookmarkStart w:id="7" w:name="_Hlk485286667"/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 w:rsidR="00510C15">
        <w:rPr>
          <w:rFonts w:eastAsia="Lucida Sans Unicode"/>
          <w:b/>
          <w:bCs/>
          <w:kern w:val="2"/>
        </w:rPr>
        <w:t>36</w:t>
      </w:r>
      <w:r w:rsidR="00DD68BE">
        <w:rPr>
          <w:rFonts w:eastAsia="Lucida Sans Unicode"/>
          <w:b/>
          <w:bCs/>
          <w:kern w:val="2"/>
        </w:rPr>
        <w:t>5</w:t>
      </w:r>
      <w:r w:rsidRPr="00AB5276">
        <w:rPr>
          <w:rFonts w:eastAsia="Lucida Sans Unicode"/>
          <w:b/>
          <w:bCs/>
          <w:kern w:val="2"/>
        </w:rPr>
        <w:t>-25-</w:t>
      </w:r>
      <w:r w:rsidR="00DD68BE">
        <w:rPr>
          <w:rFonts w:eastAsia="Lucida Sans Unicode"/>
          <w:b/>
          <w:bCs/>
          <w:kern w:val="2"/>
        </w:rPr>
        <w:t>21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</w:t>
      </w:r>
      <w:r w:rsidR="00DD68BE">
        <w:rPr>
          <w:rFonts w:eastAsia="Lucida Sans Unicode"/>
          <w:b/>
          <w:bCs/>
          <w:kern w:val="2"/>
        </w:rPr>
        <w:t>21</w:t>
      </w:r>
      <w:r>
        <w:rPr>
          <w:rFonts w:eastAsia="Lucida Sans Unicode"/>
          <w:b/>
          <w:bCs/>
          <w:kern w:val="2"/>
        </w:rPr>
        <w:t>.06.2017г.</w:t>
      </w:r>
    </w:p>
    <w:bookmarkStart w:id="8" w:name="_Hlk485823627"/>
    <w:p w:rsidR="002D48FE" w:rsidRPr="00510C15" w:rsidRDefault="00DD68BE" w:rsidP="00146B3C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DD68BE">
        <w:rPr>
          <w:rFonts w:eastAsia="Lucida Sans Unicode"/>
          <w:b/>
          <w:bCs/>
          <w:kern w:val="2"/>
        </w:rPr>
        <w:fldChar w:fldCharType="begin"/>
      </w:r>
      <w:r w:rsidRPr="00DD68BE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DD68BE">
        <w:rPr>
          <w:rFonts w:eastAsia="Lucida Sans Unicode"/>
          <w:b/>
          <w:bCs/>
          <w:kern w:val="2"/>
        </w:rPr>
        <w:fldChar w:fldCharType="separate"/>
      </w:r>
      <w:r w:rsidRPr="00DD68BE">
        <w:rPr>
          <w:rFonts w:eastAsia="Lucida Sans Unicode"/>
          <w:b/>
          <w:bCs/>
          <w:kern w:val="2"/>
        </w:rPr>
        <w:t>Обществу с ограниченной ответственностью «</w:t>
      </w:r>
      <w:r w:rsidRPr="00DD68BE">
        <w:rPr>
          <w:rFonts w:eastAsia="Lucida Sans Unicode"/>
          <w:b/>
          <w:bCs/>
          <w:kern w:val="2"/>
        </w:rPr>
        <w:fldChar w:fldCharType="end"/>
      </w:r>
      <w:r w:rsidRPr="00DD68BE">
        <w:rPr>
          <w:rFonts w:eastAsia="Lucida Sans Unicode"/>
          <w:b/>
          <w:bCs/>
          <w:kern w:val="2"/>
        </w:rPr>
        <w:t>Комплексные энергетические решения – Дальний Восток»</w:t>
      </w:r>
      <w:bookmarkEnd w:id="8"/>
      <w:r w:rsidRPr="00DD68BE">
        <w:rPr>
          <w:rFonts w:eastAsia="Lucida Sans Unicode"/>
          <w:bCs/>
          <w:kern w:val="2"/>
        </w:rPr>
        <w:fldChar w:fldCharType="begin"/>
      </w:r>
      <w:r w:rsidRPr="00DD68BE">
        <w:rPr>
          <w:rFonts w:eastAsia="Lucida Sans Unicode"/>
          <w:bCs/>
          <w:kern w:val="2"/>
        </w:rPr>
        <w:instrText xml:space="preserve"> DOCVARIABLE  ОГРН  \* MERGEFORMAT </w:instrText>
      </w:r>
      <w:r w:rsidRPr="00DD68BE">
        <w:rPr>
          <w:rFonts w:eastAsia="Lucida Sans Unicode"/>
          <w:bCs/>
          <w:kern w:val="2"/>
        </w:rPr>
        <w:fldChar w:fldCharType="separate"/>
      </w:r>
      <w:r w:rsidRPr="00DD68BE">
        <w:rPr>
          <w:rFonts w:eastAsia="Lucida Sans Unicode"/>
          <w:bCs/>
          <w:kern w:val="2"/>
        </w:rPr>
        <w:t>, ОГРН 1152537005092</w:t>
      </w:r>
      <w:r w:rsidRPr="00DD68BE">
        <w:rPr>
          <w:rFonts w:eastAsia="Lucida Sans Unicode"/>
          <w:bCs/>
          <w:kern w:val="2"/>
        </w:rPr>
        <w:fldChar w:fldCharType="end"/>
      </w:r>
      <w:r w:rsidRPr="00DD68BE">
        <w:rPr>
          <w:rFonts w:eastAsia="Lucida Sans Unicode"/>
          <w:bCs/>
          <w:kern w:val="2"/>
        </w:rPr>
        <w:t xml:space="preserve">, </w:t>
      </w:r>
      <w:r w:rsidRPr="00DD68BE">
        <w:rPr>
          <w:rFonts w:eastAsia="Lucida Sans Unicode"/>
          <w:bCs/>
          <w:kern w:val="2"/>
        </w:rPr>
        <w:fldChar w:fldCharType="begin"/>
      </w:r>
      <w:r w:rsidRPr="00DD68BE">
        <w:rPr>
          <w:rFonts w:eastAsia="Lucida Sans Unicode"/>
          <w:bCs/>
          <w:kern w:val="2"/>
        </w:rPr>
        <w:instrText xml:space="preserve"> DOCVARIABLE  ИНН  \* MERGEFORMAT </w:instrText>
      </w:r>
      <w:r w:rsidRPr="00DD68BE">
        <w:rPr>
          <w:rFonts w:eastAsia="Lucida Sans Unicode"/>
          <w:bCs/>
          <w:kern w:val="2"/>
        </w:rPr>
        <w:fldChar w:fldCharType="separate"/>
      </w:r>
      <w:r w:rsidRPr="00DD68BE">
        <w:rPr>
          <w:rFonts w:eastAsia="Lucida Sans Unicode"/>
          <w:bCs/>
          <w:kern w:val="2"/>
        </w:rPr>
        <w:t>ИНН 2537117230</w:t>
      </w:r>
      <w:r w:rsidRPr="00DD68BE">
        <w:rPr>
          <w:rFonts w:eastAsia="Lucida Sans Unicode"/>
          <w:bCs/>
          <w:kern w:val="2"/>
        </w:rPr>
        <w:fldChar w:fldCharType="end"/>
      </w:r>
      <w:r w:rsidRPr="00DD68BE">
        <w:rPr>
          <w:rFonts w:eastAsia="Lucida Sans Unicode"/>
          <w:bCs/>
          <w:kern w:val="2"/>
        </w:rPr>
        <w:t xml:space="preserve">, место нахождения: </w:t>
      </w:r>
      <w:r w:rsidRPr="00DD68BE">
        <w:rPr>
          <w:rFonts w:eastAsia="Lucida Sans Unicode"/>
          <w:bCs/>
          <w:kern w:val="2"/>
        </w:rPr>
        <w:fldChar w:fldCharType="begin"/>
      </w:r>
      <w:r w:rsidRPr="00DD68BE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DD68BE">
        <w:rPr>
          <w:rFonts w:eastAsia="Lucida Sans Unicode"/>
          <w:bCs/>
          <w:kern w:val="2"/>
        </w:rPr>
        <w:fldChar w:fldCharType="separate"/>
      </w:r>
      <w:r w:rsidRPr="00DD68BE">
        <w:rPr>
          <w:rFonts w:eastAsia="Lucida Sans Unicode"/>
          <w:bCs/>
          <w:kern w:val="2"/>
        </w:rPr>
        <w:t>690039, Приморский край, г. Владивосток, пр-т 100-летия Владивостока, д. 103 Г.</w:t>
      </w:r>
      <w:r w:rsidRPr="00DD68BE">
        <w:rPr>
          <w:rFonts w:eastAsia="Lucida Sans Unicode"/>
          <w:bCs/>
          <w:kern w:val="2"/>
        </w:rPr>
        <w:fldChar w:fldCharType="end"/>
      </w:r>
      <w:r>
        <w:rPr>
          <w:rFonts w:eastAsia="Lucida Sans Unicode"/>
          <w:bCs/>
          <w:kern w:val="2"/>
        </w:rPr>
        <w:t xml:space="preserve"> Генеральный д</w:t>
      </w:r>
      <w:r w:rsidR="002D48FE" w:rsidRPr="0026351C">
        <w:rPr>
          <w:rFonts w:eastAsia="Lucida Sans Unicode"/>
          <w:bCs/>
          <w:kern w:val="2"/>
        </w:rPr>
        <w:t xml:space="preserve">иректор </w:t>
      </w:r>
      <w:r>
        <w:rPr>
          <w:rFonts w:eastAsia="Lucida Sans Unicode"/>
          <w:bCs/>
          <w:kern w:val="2"/>
        </w:rPr>
        <w:t>Панков Олег Александрович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Default="002D48FE" w:rsidP="005F03CE">
      <w:pPr>
        <w:widowControl w:val="0"/>
        <w:tabs>
          <w:tab w:val="left" w:pos="5529"/>
        </w:tabs>
        <w:spacing w:line="240" w:lineRule="atLeast"/>
        <w:ind w:left="284" w:right="-283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463" w:type="dxa"/>
        <w:tblInd w:w="392" w:type="dxa"/>
        <w:tblLook w:val="0000" w:firstRow="0" w:lastRow="0" w:firstColumn="0" w:lastColumn="0" w:noHBand="0" w:noVBand="0"/>
      </w:tblPr>
      <w:tblGrid>
        <w:gridCol w:w="10463"/>
      </w:tblGrid>
      <w:tr w:rsidR="00DD68BE" w:rsidRPr="00DD68BE" w:rsidTr="00DD68BE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0463" w:type="dxa"/>
          </w:tcPr>
          <w:tbl>
            <w:tblPr>
              <w:tblW w:w="9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"/>
              <w:gridCol w:w="479"/>
              <w:gridCol w:w="9025"/>
              <w:gridCol w:w="93"/>
              <w:gridCol w:w="89"/>
            </w:tblGrid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bookmarkEnd w:id="4"/>
                <w:bookmarkEnd w:id="5"/>
                <w:bookmarkEnd w:id="7"/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vertAlign w:val="superscript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Наименование вида работ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2. Подготовительные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2.3. Устройство рельсовых подкрановых путей и фундаментов (опоры) стационарных кранов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3. Земляные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5. Свайные работы. закрепление грунтов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5.1. Свайные работы, выполняемые с земли, в том числе в морских и речных условиях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5.3. Устройство ростверков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5.4. Устройство забивных и буронабивных свай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6.1. Опалубочные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6.2. Арматурные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6.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10. Монтаж металлических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lastRenderedPageBreak/>
                    <w:t>10.3. Монтаж, усиление и демонтаж резервуарных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12.4.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Гуммирование</w:t>
                  </w:r>
                  <w:proofErr w:type="spellEnd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 (обкладка листовыми резинами и жидкими резиновыми смесями)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12.5. Устройство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оклеечной</w:t>
                  </w:r>
                  <w:proofErr w:type="spellEnd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 изоляции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12.9. Гидроизоляция строительных конструкций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8.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15. Устройство внутренних инженерных систем и оборудования зданий и сооружений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15.3. Устройство и демонтаж системы газоснабжения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9.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16. Устройство наружных сетей водопровода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16.1. Укладка трубопроводов водопроводных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16.2. Монтаж и демонтаж запорной арматуры и оборудования водопроводных сетей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16.3. Устройство водопроводных колодцев, оголовков, гасителей водосборов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10.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17. Устройство наружных сетей канализации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17.1. Укладка трубопроводов канализационных безнапорных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17.2. Укладка трубопроводов канализационных напорных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17.4. Устройство канализационных и водосточных колодцев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17.5. Устройство фильтрующего основания под иловые площадки и поля фильтрации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17.6. Укладка дренажных труб на иловых площадках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17.7. Очистка полости и испытание трубопроводов канализации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11.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18. Устройство наружных сетей теплоснабжения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18.1. Укладка трубопроводов теплоснабжения с температурой теплоносителя до 115 градусов Цельсия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18.2. Укладка трубопроводов теплоснабжения с температурой теплоносителя 115 градусов Цельсия и выше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18.3. Монтаж и демонтаж запорной арматуры и оборудования сетей теплоснабжения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18.4. Устройство колодцев и камер сетей теплоснабжения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18.5. Очистка полости и испытание трубопроводов теплоснабжения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12.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20. Устройство наружных электрических сетей и линий связи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20.2. Устройство сетей электроснабжения напряжением до 35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кВ</w:t>
                  </w:r>
                  <w:proofErr w:type="spellEnd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 включительно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20.10. Монтаж и демонтаж трансформаторных подстанций и линейного электрооборудования напряжением до 35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кВ</w:t>
                  </w:r>
                  <w:proofErr w:type="spellEnd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 включительно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20.12. Установка распределительных устройств, коммутационной аппаратуры, устройств защиты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13.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23. Монтажные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23.1. Монтаж подъемно-транспортного оборудования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23.3. Монтаж оборудования тепловых электростанций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23.4. Монтаж оборудования котельных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23.36. Монтаж оборудования морских и речных портов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14.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24. Пусконаладочные работы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24.1. Пусконаладочные работы подъемно-транспортного оборудования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24.4. Пусконаладочные работы силовых и измерительных трансформаторов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24.5. Пусконаладочные работы коммутационных аппаратов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24.6. Пусконаладочные работы устройств релейной защиты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24.8. Пусконаладочные работы систем напряжения и оперативного тока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24.9. Пусконаладочные работы электрических машин и электроприводов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24.19. Пусконаладочные работы компрессорных установок</w:t>
                  </w:r>
                </w:p>
              </w:tc>
            </w:tr>
            <w:tr w:rsidR="00DD68BE" w:rsidRPr="00DD68BE" w:rsidTr="00DD68BE">
              <w:trPr>
                <w:gridBefore w:val="1"/>
                <w:wBefore w:w="74" w:type="dxa"/>
              </w:trPr>
              <w:tc>
                <w:tcPr>
                  <w:tcW w:w="236" w:type="dxa"/>
                </w:tcPr>
                <w:p w:rsidR="00DD68BE" w:rsidRPr="00DD68BE" w:rsidRDefault="00DD68BE" w:rsidP="00DD68BE">
                  <w:pPr>
                    <w:suppressAutoHyphens w:val="0"/>
                    <w:jc w:val="center"/>
                    <w:rPr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sz w:val="21"/>
                      <w:szCs w:val="21"/>
                      <w:lang w:eastAsia="ru-RU"/>
                    </w:rPr>
                    <w:t>15.</w:t>
                  </w:r>
                </w:p>
              </w:tc>
              <w:tc>
                <w:tcPr>
                  <w:tcW w:w="9447" w:type="dxa"/>
                  <w:gridSpan w:val="3"/>
                </w:tcPr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b/>
                      <w:sz w:val="21"/>
                      <w:szCs w:val="21"/>
                      <w:lang w:eastAsia="en-US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 Промышленное строительство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33.1.1. Предприятия и объекты топливной промышленности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33.1.5. Предприятия и объекты химической и нефтехимической промышленности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33.1.6. Предприятия и объекты машиностроения и металлообработки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33.1.11. Тепловые электростанции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33.1.13. Объекты электроснабжения свыше 110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кВ</w:t>
                  </w:r>
                  <w:proofErr w:type="spellEnd"/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33.1.14. Объекты нефтегазового комплекса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lastRenderedPageBreak/>
                    <w:t>33.2. Транспортное строительство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33.2.1. Автомобильные дороги и объекты инфраструктуры автомобильного транспорта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33.4. Объекты электроснабжения до 110 </w:t>
                  </w:r>
                  <w:proofErr w:type="spellStart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кВ</w:t>
                  </w:r>
                  <w:proofErr w:type="spellEnd"/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 xml:space="preserve"> включительно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33.5. Объекты теплоснабжения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33.6. Объекты газоснабжения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33.7. Объекты водоснабжения и канализации</w:t>
                  </w:r>
                </w:p>
                <w:p w:rsidR="00DD68BE" w:rsidRPr="00DD68BE" w:rsidRDefault="00DD68BE" w:rsidP="00DD68BE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1"/>
                      <w:szCs w:val="21"/>
                      <w:lang w:eastAsia="en-US"/>
                    </w:rPr>
                  </w:pPr>
                  <w:r w:rsidRPr="00DD68BE">
                    <w:rPr>
                      <w:rFonts w:eastAsia="Calibri"/>
                      <w:sz w:val="21"/>
                      <w:szCs w:val="21"/>
                      <w:lang w:eastAsia="en-US"/>
                    </w:rPr>
                    <w:t>33.9. Объекты морского транспорта</w:t>
                  </w:r>
                </w:p>
              </w:tc>
            </w:tr>
            <w:tr w:rsidR="00DD68BE" w:rsidRPr="00DD68BE" w:rsidTr="00DD68B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2"/>
                <w:wBefore w:w="74" w:type="dxa"/>
                <w:wAfter w:w="186" w:type="dxa"/>
                <w:trHeight w:val="195"/>
              </w:trPr>
              <w:tc>
                <w:tcPr>
                  <w:tcW w:w="9497" w:type="dxa"/>
                  <w:gridSpan w:val="2"/>
                </w:tcPr>
                <w:p w:rsidR="00DD68BE" w:rsidRPr="00DD68BE" w:rsidRDefault="00DD68BE" w:rsidP="00DD68BE">
                  <w:pPr>
                    <w:suppressAutoHyphens w:val="0"/>
                    <w:rPr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D68BE" w:rsidRPr="00DD68BE" w:rsidTr="00DD68B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91" w:type="dxa"/>
              </w:trPr>
              <w:tc>
                <w:tcPr>
                  <w:tcW w:w="9666" w:type="dxa"/>
                  <w:gridSpan w:val="4"/>
                </w:tcPr>
                <w:p w:rsidR="00DD68BE" w:rsidRPr="00DD68BE" w:rsidRDefault="00DD68BE" w:rsidP="00DD68BE">
                  <w:pPr>
                    <w:suppressAutoHyphens w:val="0"/>
                    <w:jc w:val="both"/>
                    <w:rPr>
                      <w:b/>
                      <w:sz w:val="21"/>
                      <w:szCs w:val="21"/>
                      <w:lang w:eastAsia="ru-RU"/>
                    </w:rPr>
                  </w:pPr>
                  <w:r w:rsidRPr="00DD68BE">
                    <w:rPr>
                      <w:b/>
                      <w:sz w:val="21"/>
                      <w:szCs w:val="21"/>
                      <w:lang w:eastAsia="ru-RU"/>
                    </w:rPr>
                    <w:t>Общество с ограниченной ответственностью "Комплексные энергетические решения" - Дальний Восток"</w:t>
                  </w:r>
                  <w:r w:rsidRPr="00DD68BE">
                    <w:rPr>
                      <w:sz w:val="21"/>
                      <w:szCs w:val="21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DD68BE">
                    <w:rPr>
                      <w:b/>
                      <w:sz w:val="21"/>
                      <w:szCs w:val="21"/>
                      <w:lang w:eastAsia="ru-RU"/>
                    </w:rPr>
                    <w:t>составляет до 10 000 000 000 (десяти миллиардов) рублей</w:t>
                  </w:r>
                </w:p>
              </w:tc>
            </w:tr>
          </w:tbl>
          <w:p w:rsidR="00DD68BE" w:rsidRPr="00DD68BE" w:rsidRDefault="00DD68BE" w:rsidP="00DD68B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DD68BE" w:rsidRPr="00DD68BE" w:rsidRDefault="00DD68BE" w:rsidP="00DD68BE">
      <w:pPr>
        <w:suppressAutoHyphens w:val="0"/>
        <w:autoSpaceDE w:val="0"/>
        <w:autoSpaceDN w:val="0"/>
        <w:adjustRightInd w:val="0"/>
        <w:rPr>
          <w:sz w:val="2"/>
          <w:szCs w:val="2"/>
          <w:lang w:eastAsia="ru-RU"/>
        </w:rPr>
      </w:pPr>
    </w:p>
    <w:p w:rsidR="00DD68BE" w:rsidRPr="00DD68BE" w:rsidRDefault="00DD68BE" w:rsidP="00DD68BE">
      <w:pPr>
        <w:suppressAutoHyphens w:val="0"/>
        <w:jc w:val="both"/>
        <w:rPr>
          <w:b/>
          <w:sz w:val="2"/>
          <w:szCs w:val="2"/>
          <w:lang w:eastAsia="ru-RU"/>
        </w:rPr>
      </w:pPr>
    </w:p>
    <w:p w:rsidR="00DD68BE" w:rsidRPr="00DD68BE" w:rsidRDefault="00DD68BE" w:rsidP="00DD68BE">
      <w:pPr>
        <w:suppressAutoHyphens w:val="0"/>
        <w:autoSpaceDE w:val="0"/>
        <w:autoSpaceDN w:val="0"/>
        <w:adjustRightInd w:val="0"/>
        <w:rPr>
          <w:sz w:val="2"/>
          <w:szCs w:val="2"/>
          <w:lang w:eastAsia="ru-RU"/>
        </w:rPr>
      </w:pPr>
    </w:p>
    <w:p w:rsidR="00DD68BE" w:rsidRPr="00DD68BE" w:rsidRDefault="00DD68BE" w:rsidP="00DD68BE">
      <w:pPr>
        <w:widowControl w:val="0"/>
        <w:spacing w:before="120"/>
        <w:ind w:left="567" w:right="-284" w:firstLine="75"/>
        <w:jc w:val="center"/>
        <w:rPr>
          <w:rFonts w:eastAsia="Lucida Sans Unicode"/>
          <w:kern w:val="1"/>
          <w:szCs w:val="22"/>
        </w:rPr>
      </w:pPr>
    </w:p>
    <w:p w:rsidR="00DD68BE" w:rsidRPr="00DD68BE" w:rsidRDefault="00DD68BE" w:rsidP="00DD68BE">
      <w:pPr>
        <w:widowControl w:val="0"/>
        <w:spacing w:before="120"/>
        <w:ind w:left="567" w:right="-284" w:firstLine="75"/>
        <w:jc w:val="center"/>
        <w:rPr>
          <w:rFonts w:eastAsia="Lucida Sans Unicode"/>
          <w:kern w:val="1"/>
          <w:szCs w:val="22"/>
        </w:rPr>
      </w:pPr>
    </w:p>
    <w:p w:rsidR="00DD68BE" w:rsidRPr="00DD68BE" w:rsidRDefault="00DD68BE" w:rsidP="00DD68BE">
      <w:pPr>
        <w:widowControl w:val="0"/>
        <w:spacing w:before="120"/>
        <w:ind w:left="567" w:right="-284" w:firstLine="75"/>
        <w:jc w:val="center"/>
        <w:rPr>
          <w:lang w:eastAsia="ru-RU"/>
        </w:rPr>
      </w:pPr>
      <w:r w:rsidRPr="00DD68BE">
        <w:rPr>
          <w:rFonts w:eastAsia="Lucida Sans Unicode"/>
          <w:kern w:val="1"/>
          <w:szCs w:val="22"/>
        </w:rPr>
        <w:t xml:space="preserve">Директор      ________________      Н. Н. </w:t>
      </w:r>
      <w:proofErr w:type="spellStart"/>
      <w:r w:rsidRPr="00DD68BE">
        <w:rPr>
          <w:rFonts w:eastAsia="Lucida Sans Unicode"/>
          <w:kern w:val="1"/>
          <w:szCs w:val="22"/>
        </w:rPr>
        <w:t>Линевич</w:t>
      </w:r>
      <w:proofErr w:type="spellEnd"/>
    </w:p>
    <w:p w:rsidR="00DD68BE" w:rsidRPr="00DD68BE" w:rsidRDefault="00DD68BE" w:rsidP="00DD68BE">
      <w:pPr>
        <w:widowControl w:val="0"/>
        <w:spacing w:before="120"/>
        <w:ind w:left="4320" w:firstLine="500"/>
        <w:rPr>
          <w:lang w:eastAsia="ru-RU"/>
        </w:rPr>
      </w:pPr>
      <w:r w:rsidRPr="00DD68BE">
        <w:rPr>
          <w:lang w:eastAsia="ru-RU"/>
        </w:rPr>
        <w:t xml:space="preserve">          М.П.</w:t>
      </w: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BA46B4" w:rsidRDefault="00BA46B4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</w:p>
    <w:sectPr w:rsidR="00BA46B4" w:rsidSect="00831C05">
      <w:footerReference w:type="default" r:id="rId7"/>
      <w:pgSz w:w="11906" w:h="16838"/>
      <w:pgMar w:top="426" w:right="70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55C" w:rsidRDefault="00AF055C" w:rsidP="00F840BC">
      <w:r>
        <w:separator/>
      </w:r>
    </w:p>
  </w:endnote>
  <w:endnote w:type="continuationSeparator" w:id="0">
    <w:p w:rsidR="00AF055C" w:rsidRDefault="00AF055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995098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87">
          <w:rPr>
            <w:noProof/>
          </w:rPr>
          <w:t>3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55C" w:rsidRDefault="00AF055C" w:rsidP="00F840BC">
      <w:r>
        <w:separator/>
      </w:r>
    </w:p>
  </w:footnote>
  <w:footnote w:type="continuationSeparator" w:id="0">
    <w:p w:rsidR="00AF055C" w:rsidRDefault="00AF055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B0D97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3B57E7"/>
    <w:rsid w:val="003C0961"/>
    <w:rsid w:val="00410103"/>
    <w:rsid w:val="00435C52"/>
    <w:rsid w:val="00453EC6"/>
    <w:rsid w:val="004904F6"/>
    <w:rsid w:val="004B6090"/>
    <w:rsid w:val="004C0BC8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2330A"/>
    <w:rsid w:val="00CC0CA2"/>
    <w:rsid w:val="00CC1033"/>
    <w:rsid w:val="00CC509F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2033"/>
    <w:rsid w:val="00F0597B"/>
    <w:rsid w:val="00F0637F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45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2017-06-21T05:57:00Z</cp:lastPrinted>
  <dcterms:created xsi:type="dcterms:W3CDTF">2017-06-21T05:46:00Z</dcterms:created>
  <dcterms:modified xsi:type="dcterms:W3CDTF">2017-06-21T06:00:00Z</dcterms:modified>
</cp:coreProperties>
</file>