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1B73A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B73A3" w:rsidRPr="001B73A3">
        <w:rPr>
          <w:rFonts w:eastAsia="Calibri"/>
          <w:b/>
          <w:bCs/>
          <w:sz w:val="22"/>
          <w:szCs w:val="22"/>
        </w:rPr>
        <w:t>20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07ED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1B73A3">
        <w:rPr>
          <w:rFonts w:eastAsia="Calibri"/>
          <w:kern w:val="2"/>
          <w:sz w:val="22"/>
          <w:szCs w:val="22"/>
          <w:lang w:val="en-US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545BD"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739D9" w:rsidRPr="00A739D9" w:rsidRDefault="00A739D9" w:rsidP="00807ED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739D9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Start w:id="2" w:name="_Hlk499119279"/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1B73A3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="001B73A3">
        <w:rPr>
          <w:rFonts w:eastAsia="Lucida Sans Unicode"/>
          <w:b/>
          <w:bCs/>
          <w:kern w:val="2"/>
          <w:sz w:val="22"/>
          <w:szCs w:val="22"/>
        </w:rPr>
        <w:t xml:space="preserve"> Инжиниринг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2"/>
      <w:r w:rsidR="001B73A3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4" w:name="_Hlk483832162"/>
      <w:bookmarkStart w:id="5" w:name="_Hlk483229268"/>
      <w:bookmarkStart w:id="6" w:name="_Hlk485286667"/>
      <w:bookmarkEnd w:id="3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 w:rsidR="001B73A3"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установлении уровня ответственности в КФ ОДО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1B73A3">
        <w:rPr>
          <w:rFonts w:eastAsia="Lucida Sans Unicode"/>
          <w:b/>
          <w:bCs/>
          <w:kern w:val="2"/>
          <w:sz w:val="22"/>
          <w:szCs w:val="22"/>
        </w:rPr>
        <w:t>Пролайн</w:t>
      </w:r>
      <w:proofErr w:type="spellEnd"/>
      <w:r w:rsidR="001B73A3">
        <w:rPr>
          <w:rFonts w:eastAsia="Lucida Sans Unicode"/>
          <w:b/>
          <w:bCs/>
          <w:kern w:val="2"/>
          <w:sz w:val="22"/>
          <w:szCs w:val="22"/>
        </w:rPr>
        <w:t xml:space="preserve"> Инжиниринг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</w:p>
    <w:p w:rsidR="00A739D9" w:rsidRPr="00A739D9" w:rsidRDefault="00A739D9" w:rsidP="00A739D9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99119329"/>
      <w:r>
        <w:rPr>
          <w:rFonts w:eastAsia="Lucida Sans Unicode"/>
          <w:bCs/>
          <w:kern w:val="1"/>
          <w:sz w:val="22"/>
          <w:szCs w:val="22"/>
        </w:rPr>
        <w:t>Н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A739D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A739D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60 млн. руб.) для </w:t>
      </w:r>
      <w:r w:rsidRPr="00A739D9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B73A3">
        <w:rPr>
          <w:rFonts w:eastAsia="Lucida Sans Unicode"/>
          <w:b/>
          <w:bCs/>
          <w:kern w:val="1"/>
          <w:sz w:val="22"/>
          <w:szCs w:val="22"/>
        </w:rPr>
        <w:t>Пролайн</w:t>
      </w:r>
      <w:proofErr w:type="spellEnd"/>
      <w:r w:rsidR="001B73A3">
        <w:rPr>
          <w:rFonts w:eastAsia="Lucida Sans Unicode"/>
          <w:b/>
          <w:bCs/>
          <w:kern w:val="1"/>
          <w:sz w:val="22"/>
          <w:szCs w:val="22"/>
        </w:rPr>
        <w:t xml:space="preserve"> Инжиниринг</w:t>
      </w:r>
      <w:r w:rsidRPr="00A739D9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Pr="00A739D9">
        <w:rPr>
          <w:rFonts w:eastAsia="Lucida Sans Unicode"/>
          <w:bCs/>
          <w:kern w:val="1"/>
          <w:sz w:val="22"/>
          <w:szCs w:val="22"/>
        </w:rPr>
        <w:t>и наделить правом осуществлять работы по договору, заключаемому с использованием конкурентных способов заключения договоров</w:t>
      </w:r>
      <w:r w:rsidR="001B73A3">
        <w:rPr>
          <w:rFonts w:eastAsia="Lucida Sans Unicode"/>
          <w:bCs/>
          <w:kern w:val="1"/>
          <w:sz w:val="22"/>
          <w:szCs w:val="22"/>
        </w:rPr>
        <w:t>.</w:t>
      </w:r>
      <w:bookmarkStart w:id="8" w:name="_GoBack"/>
      <w:bookmarkEnd w:id="8"/>
    </w:p>
    <w:bookmarkEnd w:id="7"/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4"/>
      <w:bookmarkEnd w:id="5"/>
      <w:bookmarkEnd w:id="6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8DA" w:rsidRDefault="008A68DA" w:rsidP="00F840BC">
      <w:r>
        <w:separator/>
      </w:r>
    </w:p>
  </w:endnote>
  <w:endnote w:type="continuationSeparator" w:id="0">
    <w:p w:rsidR="008A68DA" w:rsidRDefault="008A68D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3A3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8DA" w:rsidRDefault="008A68DA" w:rsidP="00F840BC">
      <w:r>
        <w:separator/>
      </w:r>
    </w:p>
  </w:footnote>
  <w:footnote w:type="continuationSeparator" w:id="0">
    <w:p w:rsidR="008A68DA" w:rsidRDefault="008A68D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B73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A68DA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C7F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2017-11-22T03:15:00Z</cp:lastPrinted>
  <dcterms:created xsi:type="dcterms:W3CDTF">2017-11-24T01:26:00Z</dcterms:created>
  <dcterms:modified xsi:type="dcterms:W3CDTF">2017-11-24T01:26:00Z</dcterms:modified>
</cp:coreProperties>
</file>