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EF64" w14:textId="77777777" w:rsidR="005D7929" w:rsidRPr="005D7929" w:rsidRDefault="005D7929" w:rsidP="005D7929">
      <w:pPr>
        <w:shd w:val="clear" w:color="auto" w:fill="FFFFFF"/>
        <w:ind w:right="5"/>
        <w:jc w:val="center"/>
        <w:rPr>
          <w:color w:val="000000" w:themeColor="text1"/>
          <w:sz w:val="28"/>
          <w:szCs w:val="28"/>
        </w:rPr>
      </w:pPr>
    </w:p>
    <w:p w14:paraId="5573965C" w14:textId="77777777" w:rsidR="00BF7D27" w:rsidRPr="00BF0C93" w:rsidRDefault="00BF7D27" w:rsidP="00BF7D27">
      <w:pPr>
        <w:widowControl/>
        <w:suppressAutoHyphens w:val="0"/>
        <w:autoSpaceDE/>
        <w:autoSpaceDN w:val="0"/>
        <w:rPr>
          <w:b/>
          <w:color w:val="000000" w:themeColor="text1"/>
          <w:sz w:val="28"/>
          <w:szCs w:val="28"/>
        </w:rPr>
      </w:pPr>
      <w:r w:rsidRPr="00BF0C9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«УТВЕРЖДЕНО»</w:t>
      </w:r>
    </w:p>
    <w:p w14:paraId="4E5C28C1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BF7D27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</w:t>
      </w:r>
      <w:r w:rsidRPr="00BF7D27">
        <w:rPr>
          <w:color w:val="000000" w:themeColor="text1"/>
          <w:sz w:val="28"/>
          <w:szCs w:val="28"/>
        </w:rPr>
        <w:t xml:space="preserve">решением Совета  </w:t>
      </w:r>
    </w:p>
    <w:p w14:paraId="40944C14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BF7D27"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color w:val="000000" w:themeColor="text1"/>
          <w:sz w:val="28"/>
          <w:szCs w:val="28"/>
        </w:rPr>
        <w:t xml:space="preserve">      </w:t>
      </w:r>
      <w:r w:rsidRPr="00BF7D27">
        <w:rPr>
          <w:color w:val="000000" w:themeColor="text1"/>
          <w:sz w:val="28"/>
          <w:szCs w:val="28"/>
        </w:rPr>
        <w:t xml:space="preserve"> Ассоциации Саморегулируемая организация </w:t>
      </w:r>
    </w:p>
    <w:p w14:paraId="14377E8C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BF7D27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</w:t>
      </w:r>
      <w:r w:rsidRPr="00BF7D27">
        <w:rPr>
          <w:color w:val="000000" w:themeColor="text1"/>
          <w:sz w:val="28"/>
          <w:szCs w:val="28"/>
        </w:rPr>
        <w:t>«Альянс строителей Приморья»</w:t>
      </w:r>
    </w:p>
    <w:p w14:paraId="2FFE8E30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BF7D27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Pr="00BF7D27">
        <w:rPr>
          <w:color w:val="000000" w:themeColor="text1"/>
          <w:sz w:val="28"/>
          <w:szCs w:val="28"/>
        </w:rPr>
        <w:t>от 14 июня 2017 г., протокол № 363</w:t>
      </w:r>
    </w:p>
    <w:p w14:paraId="53A18C4C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779016AC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6DC2C73B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64622149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23A3DB4B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602083B1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5A690706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0A3F5656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BF7D27">
        <w:rPr>
          <w:color w:val="000000" w:themeColor="text1"/>
          <w:sz w:val="28"/>
          <w:szCs w:val="28"/>
        </w:rPr>
        <w:tab/>
      </w:r>
    </w:p>
    <w:p w14:paraId="3ADFDCF6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BF7D27">
        <w:rPr>
          <w:color w:val="000000" w:themeColor="text1"/>
          <w:sz w:val="28"/>
          <w:szCs w:val="28"/>
        </w:rPr>
        <w:tab/>
      </w:r>
    </w:p>
    <w:p w14:paraId="392C9A4A" w14:textId="77777777" w:rsidR="00BF0C93" w:rsidRPr="00BF0C93" w:rsidRDefault="00BF0C93" w:rsidP="00BF0C93">
      <w:pPr>
        <w:widowControl/>
        <w:suppressAutoHyphens w:val="0"/>
        <w:autoSpaceDE/>
        <w:autoSpaceDN w:val="0"/>
        <w:jc w:val="center"/>
        <w:rPr>
          <w:b/>
          <w:color w:val="000000" w:themeColor="text1"/>
          <w:sz w:val="28"/>
          <w:szCs w:val="28"/>
        </w:rPr>
      </w:pPr>
      <w:r w:rsidRPr="00BF0C93">
        <w:rPr>
          <w:b/>
          <w:color w:val="000000" w:themeColor="text1"/>
          <w:sz w:val="28"/>
          <w:szCs w:val="28"/>
        </w:rPr>
        <w:t>ПОЛОЖЕНИЕ</w:t>
      </w:r>
    </w:p>
    <w:p w14:paraId="7F27E950" w14:textId="77777777" w:rsidR="00BF7D27" w:rsidRPr="00BF7D27" w:rsidRDefault="00BF0C93" w:rsidP="00BF0C93">
      <w:pPr>
        <w:widowControl/>
        <w:suppressAutoHyphens w:val="0"/>
        <w:autoSpaceDE/>
        <w:autoSpaceDN w:val="0"/>
        <w:jc w:val="center"/>
        <w:rPr>
          <w:color w:val="000000" w:themeColor="text1"/>
          <w:sz w:val="28"/>
          <w:szCs w:val="28"/>
        </w:rPr>
      </w:pPr>
      <w:r w:rsidRPr="00BF0C93">
        <w:rPr>
          <w:color w:val="000000" w:themeColor="text1"/>
          <w:sz w:val="28"/>
          <w:szCs w:val="28"/>
        </w:rPr>
        <w:t>О повышении квалификации и аттестации работников индивидуальных предпринимателей или юридических лиц</w:t>
      </w:r>
    </w:p>
    <w:p w14:paraId="392E9980" w14:textId="77777777" w:rsidR="00BF7D27" w:rsidRPr="00BF7D27" w:rsidRDefault="00BF7D27" w:rsidP="00BF0C93">
      <w:pPr>
        <w:widowControl/>
        <w:suppressAutoHyphens w:val="0"/>
        <w:autoSpaceDE/>
        <w:autoSpaceDN w:val="0"/>
        <w:jc w:val="center"/>
        <w:rPr>
          <w:color w:val="000000" w:themeColor="text1"/>
          <w:sz w:val="28"/>
          <w:szCs w:val="28"/>
        </w:rPr>
      </w:pPr>
    </w:p>
    <w:p w14:paraId="4BC38BA8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27D182CD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2B93B2FD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5C465672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116F38A5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72DCD4A0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1CD5F14B" w14:textId="77777777" w:rsidR="00BF7D27" w:rsidRPr="00BF7D27" w:rsidRDefault="00BF7D27" w:rsidP="00BF7D27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</w:p>
    <w:p w14:paraId="569684C4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677027B8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54B0B9D9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1AD6AB47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3875766B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0D4CC67C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55672DD4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7256135A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6B314EC4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5DA7A4C5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0369053E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6EFACFAC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26FDE383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750DCCF6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2D7CF84C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2E4E4A10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0C7C021C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0C69ABCA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4CF02006" w14:textId="77777777" w:rsidR="00BF0C93" w:rsidRDefault="00BF0C93" w:rsidP="00BF7D27">
      <w:pPr>
        <w:widowControl/>
        <w:suppressAutoHyphens w:val="0"/>
        <w:autoSpaceDE/>
        <w:autoSpaceDN w:val="0"/>
        <w:rPr>
          <w:b/>
          <w:color w:val="000000" w:themeColor="text1"/>
          <w:sz w:val="24"/>
          <w:szCs w:val="24"/>
        </w:rPr>
      </w:pPr>
    </w:p>
    <w:p w14:paraId="33097680" w14:textId="77777777" w:rsidR="005D7929" w:rsidRPr="00BF0C93" w:rsidRDefault="00BF7D27" w:rsidP="00BF0C93">
      <w:pPr>
        <w:widowControl/>
        <w:suppressAutoHyphens w:val="0"/>
        <w:autoSpaceDE/>
        <w:autoSpaceDN w:val="0"/>
        <w:jc w:val="center"/>
        <w:rPr>
          <w:b/>
          <w:color w:val="000000" w:themeColor="text1"/>
          <w:sz w:val="24"/>
          <w:szCs w:val="24"/>
        </w:rPr>
      </w:pPr>
      <w:r w:rsidRPr="00BF0C93">
        <w:rPr>
          <w:b/>
          <w:color w:val="000000" w:themeColor="text1"/>
          <w:sz w:val="24"/>
          <w:szCs w:val="24"/>
        </w:rPr>
        <w:t>Владивосток, 2017</w:t>
      </w:r>
    </w:p>
    <w:p w14:paraId="0D13CAB2" w14:textId="77777777" w:rsidR="005D7929" w:rsidRPr="005D7929" w:rsidRDefault="005D7929" w:rsidP="005D7929">
      <w:pPr>
        <w:pStyle w:val="1"/>
        <w:jc w:val="center"/>
        <w:rPr>
          <w:color w:val="000000" w:themeColor="text1"/>
        </w:rPr>
      </w:pPr>
      <w:bookmarkStart w:id="0" w:name="_Toc483386917"/>
      <w:r w:rsidRPr="005D7929">
        <w:rPr>
          <w:color w:val="000000" w:themeColor="text1"/>
        </w:rPr>
        <w:lastRenderedPageBreak/>
        <w:t>Оглавление</w:t>
      </w:r>
      <w:bookmarkEnd w:id="0"/>
    </w:p>
    <w:p w14:paraId="4B53B900" w14:textId="77777777" w:rsidR="005D7929" w:rsidRPr="005D7929" w:rsidRDefault="005D7929" w:rsidP="005D7929">
      <w:pPr>
        <w:pStyle w:val="11"/>
        <w:rPr>
          <w:color w:val="000000" w:themeColor="text1"/>
        </w:rPr>
      </w:pPr>
    </w:p>
    <w:p w14:paraId="65ED0087" w14:textId="77777777" w:rsidR="005D7929" w:rsidRPr="005D7929" w:rsidRDefault="005D7929" w:rsidP="005D7929">
      <w:pPr>
        <w:pStyle w:val="11"/>
        <w:rPr>
          <w:color w:val="000000" w:themeColor="text1"/>
        </w:rPr>
      </w:pPr>
    </w:p>
    <w:p w14:paraId="503A187A" w14:textId="77777777" w:rsidR="005D7929" w:rsidRPr="005D7929" w:rsidRDefault="005D7929" w:rsidP="005D7929">
      <w:pPr>
        <w:pStyle w:val="11"/>
        <w:tabs>
          <w:tab w:val="right" w:leader="dot" w:pos="10054"/>
        </w:tabs>
        <w:spacing w:before="240" w:after="240"/>
        <w:rPr>
          <w:rFonts w:ascii="Times New Roman" w:hAnsi="Times New Roman" w:cs="Times New Roman"/>
          <w:b w:val="0"/>
          <w:bCs w:val="0"/>
          <w:caps w:val="0"/>
          <w:noProof/>
          <w:color w:val="000000" w:themeColor="text1"/>
          <w:sz w:val="28"/>
          <w:szCs w:val="22"/>
          <w:lang w:eastAsia="ru-RU"/>
        </w:rPr>
      </w:pPr>
      <w:r w:rsidRPr="005D7929">
        <w:rPr>
          <w:color w:val="000000" w:themeColor="text1"/>
          <w:szCs w:val="28"/>
        </w:rPr>
        <w:fldChar w:fldCharType="begin"/>
      </w:r>
      <w:r w:rsidRPr="005D7929">
        <w:rPr>
          <w:color w:val="000000" w:themeColor="text1"/>
          <w:szCs w:val="28"/>
        </w:rPr>
        <w:instrText xml:space="preserve"> TOC \o "1-1" \h \z \u </w:instrText>
      </w:r>
      <w:r w:rsidRPr="005D7929">
        <w:rPr>
          <w:color w:val="000000" w:themeColor="text1"/>
          <w:szCs w:val="28"/>
        </w:rPr>
        <w:fldChar w:fldCharType="separate"/>
      </w:r>
      <w:hyperlink r:id="rId7" w:anchor="_Toc483386917" w:history="1">
        <w:r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>Оглавление</w:t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ab/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begin"/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instrText xml:space="preserve"> PAGEREF _Toc483386917 \h </w:instrText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separate"/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>2</w:t>
        </w:r>
        <w:r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14:paraId="5FC9ED90" w14:textId="77777777" w:rsidR="005D7929" w:rsidRPr="005D7929" w:rsidRDefault="00601752" w:rsidP="005D7929">
      <w:pPr>
        <w:pStyle w:val="11"/>
        <w:tabs>
          <w:tab w:val="right" w:leader="dot" w:pos="10054"/>
        </w:tabs>
        <w:spacing w:before="240" w:after="240"/>
        <w:rPr>
          <w:rFonts w:ascii="Times New Roman" w:hAnsi="Times New Roman" w:cs="Times New Roman"/>
          <w:b w:val="0"/>
          <w:bCs w:val="0"/>
          <w:caps w:val="0"/>
          <w:noProof/>
          <w:color w:val="000000" w:themeColor="text1"/>
          <w:sz w:val="28"/>
          <w:szCs w:val="22"/>
          <w:lang w:eastAsia="ru-RU"/>
        </w:rPr>
      </w:pPr>
      <w:hyperlink r:id="rId8" w:anchor="_Toc483386918" w:history="1">
        <w:r w:rsidR="005D7929"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>1. Общие положения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ab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begin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instrText xml:space="preserve"> PAGEREF _Toc483386918 \h </w:instrTex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separate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>3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14:paraId="60ABA712" w14:textId="77777777" w:rsidR="005D7929" w:rsidRPr="005D7929" w:rsidRDefault="00601752" w:rsidP="005D7929">
      <w:pPr>
        <w:pStyle w:val="11"/>
        <w:tabs>
          <w:tab w:val="right" w:leader="dot" w:pos="10054"/>
        </w:tabs>
        <w:spacing w:before="240" w:after="240"/>
        <w:rPr>
          <w:rFonts w:ascii="Times New Roman" w:hAnsi="Times New Roman" w:cs="Times New Roman"/>
          <w:b w:val="0"/>
          <w:bCs w:val="0"/>
          <w:caps w:val="0"/>
          <w:noProof/>
          <w:color w:val="000000" w:themeColor="text1"/>
          <w:sz w:val="28"/>
          <w:szCs w:val="22"/>
          <w:lang w:eastAsia="ru-RU"/>
        </w:rPr>
      </w:pPr>
      <w:hyperlink r:id="rId9" w:anchor="_Toc483386919" w:history="1">
        <w:r w:rsidR="005D7929"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>2. Повышение квалификации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ab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begin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instrText xml:space="preserve"> PAGEREF _Toc483386919 \h </w:instrTex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separate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>4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14:paraId="34353DBF" w14:textId="77777777" w:rsidR="005D7929" w:rsidRPr="005D7929" w:rsidRDefault="00601752" w:rsidP="005D7929">
      <w:pPr>
        <w:pStyle w:val="11"/>
        <w:tabs>
          <w:tab w:val="right" w:leader="dot" w:pos="10054"/>
        </w:tabs>
        <w:spacing w:before="240" w:after="240"/>
        <w:rPr>
          <w:rFonts w:ascii="Times New Roman" w:hAnsi="Times New Roman" w:cs="Times New Roman"/>
          <w:b w:val="0"/>
          <w:bCs w:val="0"/>
          <w:caps w:val="0"/>
          <w:noProof/>
          <w:color w:val="000000" w:themeColor="text1"/>
          <w:sz w:val="28"/>
          <w:szCs w:val="22"/>
          <w:lang w:eastAsia="ru-RU"/>
        </w:rPr>
      </w:pPr>
      <w:hyperlink r:id="rId10" w:anchor="_Toc483386920" w:history="1">
        <w:r w:rsidR="005D7929"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 xml:space="preserve">3. Требования к системе аттестации работников членов </w:t>
        </w:r>
        <w:r w:rsidR="00D04E24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>АСО «АСП»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>, выполняющих работы по строительству, реконструкции и капитальному ремонту особо опасных, технически сложных объектов (в том числе объектов использования атомной энергии)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ab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begin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instrText xml:space="preserve"> PAGEREF _Toc483386920 \h </w:instrTex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separate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>5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14:paraId="798EAAEA" w14:textId="77777777" w:rsidR="005D7929" w:rsidRPr="005D7929" w:rsidRDefault="00601752" w:rsidP="005D7929">
      <w:pPr>
        <w:pStyle w:val="11"/>
        <w:tabs>
          <w:tab w:val="right" w:leader="dot" w:pos="10054"/>
        </w:tabs>
        <w:spacing w:before="240" w:after="240"/>
        <w:rPr>
          <w:rFonts w:ascii="Times New Roman" w:hAnsi="Times New Roman" w:cs="Times New Roman"/>
          <w:b w:val="0"/>
          <w:bCs w:val="0"/>
          <w:caps w:val="0"/>
          <w:noProof/>
          <w:color w:val="000000" w:themeColor="text1"/>
          <w:sz w:val="28"/>
          <w:szCs w:val="22"/>
          <w:lang w:eastAsia="ru-RU"/>
        </w:rPr>
      </w:pPr>
      <w:hyperlink r:id="rId11" w:anchor="_Toc483386921" w:history="1">
        <w:r w:rsidR="005D7929"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</w:rPr>
          <w:t>4. Ответственность за неисполнение обязанности по повышению квалификации и аттестации работников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ab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begin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instrText xml:space="preserve"> PAGEREF _Toc483386921 \h </w:instrTex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separate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>8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14:paraId="713FCDBD" w14:textId="77777777" w:rsidR="005D7929" w:rsidRPr="005D7929" w:rsidRDefault="00601752" w:rsidP="005D7929">
      <w:pPr>
        <w:pStyle w:val="11"/>
        <w:tabs>
          <w:tab w:val="right" w:leader="dot" w:pos="10054"/>
        </w:tabs>
        <w:spacing w:before="240" w:after="240"/>
        <w:rPr>
          <w:rFonts w:cs="Times New Roman"/>
          <w:b w:val="0"/>
          <w:bCs w:val="0"/>
          <w:caps w:val="0"/>
          <w:noProof/>
          <w:color w:val="000000" w:themeColor="text1"/>
          <w:sz w:val="22"/>
          <w:szCs w:val="22"/>
          <w:lang w:eastAsia="ru-RU"/>
        </w:rPr>
      </w:pPr>
      <w:hyperlink r:id="rId12" w:anchor="_Toc483386922" w:history="1">
        <w:r w:rsidR="009873FD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  <w:lang w:eastAsia="x-none"/>
          </w:rPr>
          <w:t>5. ЗАКЛЮЧИТЕЛЬНЫЕ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color w:val="000000" w:themeColor="text1"/>
            <w:sz w:val="24"/>
            <w:lang w:eastAsia="x-none"/>
          </w:rPr>
          <w:t xml:space="preserve"> Положения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ab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begin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instrText xml:space="preserve"> PAGEREF _Toc483386922 \h </w:instrTex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separate"/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t>8</w:t>
        </w:r>
        <w:r w:rsidR="005D7929" w:rsidRPr="005D7929">
          <w:rPr>
            <w:rStyle w:val="a3"/>
            <w:rFonts w:ascii="Times New Roman" w:eastAsia="SimSun" w:hAnsi="Times New Roman"/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14:paraId="37C4B9E1" w14:textId="77777777" w:rsidR="005D7929" w:rsidRPr="005D7929" w:rsidRDefault="005D7929" w:rsidP="005D7929">
      <w:pPr>
        <w:widowControl/>
        <w:suppressAutoHyphens w:val="0"/>
        <w:autoSpaceDE/>
        <w:autoSpaceDN w:val="0"/>
        <w:rPr>
          <w:color w:val="000000" w:themeColor="text1"/>
          <w:sz w:val="28"/>
          <w:szCs w:val="28"/>
        </w:rPr>
      </w:pPr>
      <w:r w:rsidRPr="005D7929">
        <w:rPr>
          <w:rFonts w:ascii="Calibri" w:hAnsi="Calibri"/>
          <w:color w:val="000000" w:themeColor="text1"/>
          <w:szCs w:val="28"/>
        </w:rPr>
        <w:fldChar w:fldCharType="end"/>
      </w:r>
    </w:p>
    <w:p w14:paraId="111BCE13" w14:textId="77777777" w:rsidR="005D7929" w:rsidRPr="005D7929" w:rsidRDefault="005D7929" w:rsidP="005D7929">
      <w:pPr>
        <w:widowControl/>
        <w:suppressAutoHyphens w:val="0"/>
        <w:autoSpaceDE/>
        <w:autoSpaceDN w:val="0"/>
        <w:rPr>
          <w:b/>
          <w:color w:val="000000" w:themeColor="text1"/>
          <w:sz w:val="28"/>
          <w:szCs w:val="28"/>
        </w:rPr>
      </w:pPr>
      <w:r w:rsidRPr="005D7929">
        <w:rPr>
          <w:b/>
          <w:color w:val="000000" w:themeColor="text1"/>
          <w:sz w:val="28"/>
          <w:szCs w:val="28"/>
        </w:rPr>
        <w:br w:type="page"/>
      </w:r>
    </w:p>
    <w:p w14:paraId="72BD6081" w14:textId="77777777" w:rsidR="005D7929" w:rsidRPr="005D7929" w:rsidRDefault="005D7929" w:rsidP="005D7929">
      <w:pPr>
        <w:pStyle w:val="1"/>
        <w:spacing w:before="240" w:after="240"/>
        <w:jc w:val="center"/>
        <w:rPr>
          <w:color w:val="000000" w:themeColor="text1"/>
        </w:rPr>
      </w:pPr>
      <w:bookmarkStart w:id="1" w:name="_Toc483386918"/>
      <w:bookmarkStart w:id="2" w:name="_Toc465153972"/>
      <w:bookmarkStart w:id="3" w:name="_Toc333569329"/>
      <w:r w:rsidRPr="005D7929">
        <w:rPr>
          <w:color w:val="000000" w:themeColor="text1"/>
        </w:rPr>
        <w:t>1. Общие положения</w:t>
      </w:r>
      <w:bookmarkEnd w:id="1"/>
      <w:bookmarkEnd w:id="2"/>
      <w:bookmarkEnd w:id="3"/>
    </w:p>
    <w:p w14:paraId="662C1824" w14:textId="77777777" w:rsidR="005D7929" w:rsidRPr="005D7929" w:rsidRDefault="005D7929" w:rsidP="005D7929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Положение о повышении квалификации и аттестации работников индивидуальных предпринимателей или юридических лиц, являющихся членами Ассоциации Саморегулируемая организация «</w:t>
      </w:r>
      <w:r w:rsidR="00D04E24">
        <w:rPr>
          <w:color w:val="000000" w:themeColor="text1"/>
          <w:sz w:val="24"/>
          <w:szCs w:val="24"/>
        </w:rPr>
        <w:t>Альянс строителей Приморья</w:t>
      </w:r>
      <w:r w:rsidRPr="005D7929">
        <w:rPr>
          <w:color w:val="000000" w:themeColor="text1"/>
          <w:sz w:val="24"/>
          <w:szCs w:val="24"/>
        </w:rPr>
        <w:t xml:space="preserve">» (далее </w:t>
      </w:r>
      <w:r w:rsidR="00D04E24">
        <w:rPr>
          <w:color w:val="000000" w:themeColor="text1"/>
          <w:sz w:val="24"/>
          <w:szCs w:val="24"/>
        </w:rPr>
        <w:t>–</w:t>
      </w:r>
      <w:r w:rsidRPr="005D7929">
        <w:rPr>
          <w:color w:val="000000" w:themeColor="text1"/>
          <w:sz w:val="24"/>
          <w:szCs w:val="24"/>
        </w:rPr>
        <w:t xml:space="preserve"> </w:t>
      </w:r>
      <w:r w:rsidR="00D04E24">
        <w:rPr>
          <w:color w:val="000000" w:themeColor="text1"/>
          <w:sz w:val="24"/>
          <w:szCs w:val="24"/>
        </w:rPr>
        <w:t>АСО «АСП», СРО, Ассоциация</w:t>
      </w:r>
      <w:r w:rsidRPr="005D7929">
        <w:rPr>
          <w:color w:val="000000" w:themeColor="text1"/>
          <w:sz w:val="24"/>
          <w:szCs w:val="24"/>
        </w:rPr>
        <w:t xml:space="preserve">), определяет порядок и условия повышения квалификации и аттестации работников членов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>.</w:t>
      </w:r>
    </w:p>
    <w:p w14:paraId="44A710D8" w14:textId="77777777" w:rsidR="005D7929" w:rsidRPr="005D7929" w:rsidRDefault="005D7929" w:rsidP="005D7929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Настоящее Положение разработано в соответствии с Градостроительным кодексом Российской Федерации (далее - </w:t>
      </w:r>
      <w:proofErr w:type="spellStart"/>
      <w:r w:rsidRPr="005D7929">
        <w:rPr>
          <w:color w:val="000000" w:themeColor="text1"/>
          <w:sz w:val="24"/>
          <w:szCs w:val="24"/>
        </w:rPr>
        <w:t>ГрК</w:t>
      </w:r>
      <w:proofErr w:type="spellEnd"/>
      <w:r w:rsidRPr="005D7929">
        <w:rPr>
          <w:color w:val="000000" w:themeColor="text1"/>
          <w:sz w:val="24"/>
          <w:szCs w:val="24"/>
        </w:rPr>
        <w:t xml:space="preserve"> РФ). Федеральным законом от 01.12.2007. № 315-ФЗ «О саморегулируемых организациях». Законом Российской Федерации № 273 от 29.12.2013. «Об образовании в российской федерации». Иными нормативными правовыми актами, регламентирующими повышение квалификации и аттестации, положениями Устава и внутренних документов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>.</w:t>
      </w:r>
    </w:p>
    <w:p w14:paraId="583DFA4C" w14:textId="77777777" w:rsidR="005D7929" w:rsidRPr="005D7929" w:rsidRDefault="005D7929" w:rsidP="005D7929">
      <w:pPr>
        <w:pStyle w:val="a4"/>
        <w:numPr>
          <w:ilvl w:val="0"/>
          <w:numId w:val="1"/>
        </w:numPr>
        <w:shd w:val="clear" w:color="auto" w:fill="FFFFFF"/>
        <w:tabs>
          <w:tab w:val="left" w:pos="590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Требования Ассоциации к своим членам, разработанные на основании положений ч. 6, п/п 4 ст. 55.5.1 </w:t>
      </w:r>
      <w:proofErr w:type="spellStart"/>
      <w:r w:rsidRPr="005D7929">
        <w:rPr>
          <w:color w:val="000000" w:themeColor="text1"/>
          <w:sz w:val="24"/>
          <w:szCs w:val="24"/>
        </w:rPr>
        <w:t>ГрК</w:t>
      </w:r>
      <w:proofErr w:type="spellEnd"/>
      <w:r w:rsidRPr="005D7929">
        <w:rPr>
          <w:color w:val="000000" w:themeColor="text1"/>
          <w:sz w:val="24"/>
          <w:szCs w:val="24"/>
        </w:rPr>
        <w:t xml:space="preserve"> РФ, устанавливают обязанность повышения не реже чем один раз в пять лет квалификации работниками индивидуального предпринимателя, работниками юридического лица.</w:t>
      </w:r>
    </w:p>
    <w:p w14:paraId="5CB8088E" w14:textId="77777777" w:rsidR="005D7929" w:rsidRPr="005D7929" w:rsidRDefault="005D7929" w:rsidP="005D7929">
      <w:p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1.5.</w:t>
      </w:r>
      <w:r w:rsidRPr="005D7929">
        <w:rPr>
          <w:color w:val="000000" w:themeColor="text1"/>
          <w:sz w:val="24"/>
          <w:szCs w:val="24"/>
        </w:rPr>
        <w:tab/>
        <w:t xml:space="preserve">Сущность аттестации работников (специалистов) членов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>, проводимой в порядке, установленном настоящим Положением, заключается в оценке профессиональных способностей работника, знаний нормативных правовых актов, нормативно-технических документов и технических регламентов, необходимых для качественного выполнения работ, подтверждающих квалификацию работника которые оказывают влияние на безопасность объектов капитального строительства.</w:t>
      </w:r>
    </w:p>
    <w:p w14:paraId="1B2D0C5A" w14:textId="77777777" w:rsidR="005D7929" w:rsidRPr="005D7929" w:rsidRDefault="005D7929" w:rsidP="005D7929">
      <w:p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1.6.</w:t>
      </w:r>
      <w:r w:rsidRPr="005D7929">
        <w:rPr>
          <w:color w:val="000000" w:themeColor="text1"/>
          <w:sz w:val="24"/>
          <w:szCs w:val="24"/>
        </w:rPr>
        <w:tab/>
        <w:t>Целью аттестации является обеспечение необходимого уровня квалификации работников, способствующего повышению качества строительства.</w:t>
      </w:r>
    </w:p>
    <w:p w14:paraId="2A3F873A" w14:textId="77777777" w:rsidR="005D7929" w:rsidRPr="005D7929" w:rsidRDefault="005D7929" w:rsidP="005D7929">
      <w:p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1.7.</w:t>
      </w:r>
      <w:r w:rsidRPr="005D7929">
        <w:rPr>
          <w:color w:val="000000" w:themeColor="text1"/>
          <w:sz w:val="24"/>
          <w:szCs w:val="24"/>
        </w:rPr>
        <w:tab/>
        <w:t>Аттестацию проходят специалисты организаций поднадзорных Федеральной службе по экологическому, технологическому и атомному надзору, по вопросам безопасности согласно Приказу Ростехнадзора от 29.01.2007.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надзору»;</w:t>
      </w:r>
    </w:p>
    <w:p w14:paraId="62338E31" w14:textId="77777777" w:rsidR="005D7929" w:rsidRPr="005D7929" w:rsidRDefault="005D7929" w:rsidP="005D7929">
      <w:p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1.8.</w:t>
      </w:r>
      <w:r w:rsidRPr="005D7929">
        <w:rPr>
          <w:color w:val="000000" w:themeColor="text1"/>
          <w:sz w:val="24"/>
          <w:szCs w:val="24"/>
        </w:rPr>
        <w:tab/>
        <w:t xml:space="preserve">В соответствии с частью 8 ст.55.5 </w:t>
      </w:r>
      <w:proofErr w:type="spellStart"/>
      <w:r w:rsidRPr="005D7929">
        <w:rPr>
          <w:color w:val="000000" w:themeColor="text1"/>
          <w:sz w:val="24"/>
          <w:szCs w:val="24"/>
        </w:rPr>
        <w:t>ГрК</w:t>
      </w:r>
      <w:proofErr w:type="spellEnd"/>
      <w:r w:rsidRPr="005D7929">
        <w:rPr>
          <w:color w:val="000000" w:themeColor="text1"/>
          <w:sz w:val="24"/>
          <w:szCs w:val="24"/>
        </w:rPr>
        <w:t xml:space="preserve"> РФ, Постановлением Правительства РФ от 11.05.2017.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 xml:space="preserve"> разработаны и утверждены требования к членам Ассоциации выразившим желание заключать договора строительного подряда на выполнение работ по строительству, </w:t>
      </w:r>
      <w:r w:rsidRPr="005D7929">
        <w:rPr>
          <w:bCs/>
          <w:color w:val="000000" w:themeColor="text1"/>
          <w:sz w:val="24"/>
          <w:szCs w:val="24"/>
        </w:rPr>
        <w:t xml:space="preserve">реконструкции, </w:t>
      </w:r>
      <w:r w:rsidRPr="005D7929">
        <w:rPr>
          <w:color w:val="000000" w:themeColor="text1"/>
          <w:sz w:val="24"/>
          <w:szCs w:val="24"/>
        </w:rPr>
        <w:t>капитальному ремонту особо опасных, технически сложных  и уникальных объектов.</w:t>
      </w:r>
    </w:p>
    <w:p w14:paraId="6EE2CAA2" w14:textId="77777777" w:rsidR="005D7929" w:rsidRPr="005D7929" w:rsidRDefault="005D7929" w:rsidP="005D7929">
      <w:p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1.11.1.</w:t>
      </w:r>
      <w:r w:rsidRPr="005D7929">
        <w:rPr>
          <w:color w:val="000000" w:themeColor="text1"/>
          <w:sz w:val="24"/>
          <w:szCs w:val="24"/>
        </w:rPr>
        <w:tab/>
        <w:t xml:space="preserve">Для </w:t>
      </w:r>
      <w:r w:rsidRPr="005D7929">
        <w:rPr>
          <w:bCs/>
          <w:color w:val="000000" w:themeColor="text1"/>
          <w:sz w:val="24"/>
          <w:szCs w:val="24"/>
        </w:rPr>
        <w:t>заключения договоров строительного подряда</w:t>
      </w:r>
      <w:r w:rsidRPr="005D7929">
        <w:rPr>
          <w:color w:val="000000" w:themeColor="text1"/>
          <w:sz w:val="24"/>
          <w:szCs w:val="24"/>
        </w:rPr>
        <w:t xml:space="preserve"> на работы по строительству, реконструкции, капитальному ремонту особо опасных, технически сложных и уникальных объектов (кроме объектов использования атомной энергии), заявитель должен иметь:</w:t>
      </w:r>
    </w:p>
    <w:p w14:paraId="0D84AB15" w14:textId="77777777" w:rsidR="005D7929" w:rsidRPr="005D7929" w:rsidRDefault="005D7929" w:rsidP="005D7929">
      <w:pPr>
        <w:pStyle w:val="a4"/>
        <w:numPr>
          <w:ilvl w:val="0"/>
          <w:numId w:val="2"/>
        </w:numPr>
        <w:shd w:val="clear" w:color="auto" w:fill="FFFFFF"/>
        <w:tabs>
          <w:tab w:val="left" w:pos="730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работников, прошедших аттестацию по правилам, установленным Ростехнадзором,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при наличии в штатном расписании заявителя указанных должностей;</w:t>
      </w:r>
    </w:p>
    <w:p w14:paraId="35A3EC6B" w14:textId="77777777" w:rsidR="005D7929" w:rsidRPr="005D7929" w:rsidRDefault="005D7929" w:rsidP="005D7929">
      <w:pPr>
        <w:pStyle w:val="a4"/>
        <w:numPr>
          <w:ilvl w:val="0"/>
          <w:numId w:val="2"/>
        </w:numPr>
        <w:shd w:val="clear" w:color="auto" w:fill="FFFFFF"/>
        <w:tabs>
          <w:tab w:val="left" w:pos="480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повышение квалификации в области организации строительства заявленными руководителями, (специалистами) внесенными (вносимыми) в национальный реестр специалистов не реже 1 раза в 5 лет с проведением аттестации;</w:t>
      </w:r>
    </w:p>
    <w:p w14:paraId="6CB189A7" w14:textId="77777777" w:rsidR="005D7929" w:rsidRPr="005D7929" w:rsidRDefault="005D7929" w:rsidP="005D7929">
      <w:pPr>
        <w:pStyle w:val="a4"/>
        <w:numPr>
          <w:ilvl w:val="0"/>
          <w:numId w:val="2"/>
        </w:numPr>
        <w:shd w:val="clear" w:color="auto" w:fill="FFFFFF"/>
        <w:tabs>
          <w:tab w:val="left" w:pos="523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наличие системы аттестации работников, подлежащих </w:t>
      </w:r>
      <w:r w:rsidRPr="005D7929">
        <w:rPr>
          <w:bCs/>
          <w:color w:val="000000" w:themeColor="text1"/>
          <w:sz w:val="24"/>
          <w:szCs w:val="24"/>
        </w:rPr>
        <w:t xml:space="preserve">аттестации </w:t>
      </w:r>
      <w:r w:rsidRPr="005D7929">
        <w:rPr>
          <w:color w:val="000000" w:themeColor="text1"/>
          <w:sz w:val="24"/>
          <w:szCs w:val="24"/>
        </w:rPr>
        <w:t xml:space="preserve">по правилам, </w:t>
      </w:r>
      <w:r w:rsidRPr="005D7929">
        <w:rPr>
          <w:color w:val="000000" w:themeColor="text1"/>
          <w:sz w:val="24"/>
          <w:szCs w:val="24"/>
          <w:lang w:eastAsia="ru-RU" w:bidi="ru-RU"/>
        </w:rPr>
        <w:t>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14:paraId="71FAC220" w14:textId="77777777" w:rsidR="005D7929" w:rsidRPr="005D7929" w:rsidRDefault="005D7929" w:rsidP="005D7929">
      <w:pPr>
        <w:shd w:val="clear" w:color="auto" w:fill="FFFFFF"/>
        <w:spacing w:line="288" w:lineRule="auto"/>
        <w:ind w:right="5" w:firstLine="350"/>
        <w:jc w:val="both"/>
        <w:rPr>
          <w:color w:val="000000" w:themeColor="text1"/>
          <w:sz w:val="22"/>
          <w:szCs w:val="22"/>
        </w:rPr>
      </w:pPr>
      <w:r w:rsidRPr="005D7929">
        <w:rPr>
          <w:color w:val="000000" w:themeColor="text1"/>
          <w:sz w:val="22"/>
          <w:szCs w:val="22"/>
        </w:rPr>
        <w:t>Примечание:</w:t>
      </w:r>
    </w:p>
    <w:p w14:paraId="3BF64C92" w14:textId="77777777" w:rsidR="005D7929" w:rsidRPr="005D7929" w:rsidRDefault="005D7929" w:rsidP="005D7929">
      <w:pPr>
        <w:pStyle w:val="a4"/>
        <w:numPr>
          <w:ilvl w:val="0"/>
          <w:numId w:val="3"/>
        </w:numPr>
        <w:shd w:val="clear" w:color="auto" w:fill="FFFFFF"/>
        <w:spacing w:line="288" w:lineRule="auto"/>
        <w:ind w:left="709" w:right="5"/>
        <w:jc w:val="both"/>
        <w:rPr>
          <w:color w:val="000000" w:themeColor="text1"/>
          <w:sz w:val="22"/>
          <w:szCs w:val="22"/>
        </w:rPr>
      </w:pPr>
      <w:r w:rsidRPr="005D7929">
        <w:rPr>
          <w:color w:val="000000" w:themeColor="text1"/>
          <w:sz w:val="22"/>
          <w:szCs w:val="22"/>
        </w:rPr>
        <w:t>Требования к системе аттестации работников устанавливаются в соответствии с Приказом Ростехнадзора от 29.01.2007.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 и разделом 3 настоящего Положения.</w:t>
      </w:r>
    </w:p>
    <w:p w14:paraId="72E45C1F" w14:textId="77777777" w:rsidR="005D7929" w:rsidRPr="005D7929" w:rsidRDefault="005D7929" w:rsidP="005D7929">
      <w:pPr>
        <w:pStyle w:val="1"/>
        <w:spacing w:before="240" w:after="240"/>
        <w:jc w:val="center"/>
        <w:rPr>
          <w:color w:val="000000" w:themeColor="text1"/>
        </w:rPr>
      </w:pPr>
      <w:bookmarkStart w:id="4" w:name="_Toc483386919"/>
      <w:bookmarkStart w:id="5" w:name="_Toc465153973"/>
      <w:r w:rsidRPr="005D7929">
        <w:rPr>
          <w:color w:val="000000" w:themeColor="text1"/>
        </w:rPr>
        <w:t>2. Повышение квалификации</w:t>
      </w:r>
      <w:bookmarkEnd w:id="4"/>
      <w:bookmarkEnd w:id="5"/>
    </w:p>
    <w:p w14:paraId="3DAEFE5C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Повышение квалификации - вид дополнительного профессионального образования, направленный на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14:paraId="7D60D4E1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Повышение квалификации осуществляют образовательные учреждения на основании имеющейся лицензии и свидетельства о государственной аккредитации.</w:t>
      </w:r>
    </w:p>
    <w:p w14:paraId="06D3A431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Повышение квалификации работника проводится по программам, разработанным с учетом требований </w:t>
      </w:r>
      <w:proofErr w:type="spellStart"/>
      <w:r w:rsidRPr="005D7929">
        <w:rPr>
          <w:color w:val="000000" w:themeColor="text1"/>
          <w:sz w:val="24"/>
          <w:szCs w:val="24"/>
        </w:rPr>
        <w:t>ГрК</w:t>
      </w:r>
      <w:proofErr w:type="spellEnd"/>
      <w:r w:rsidRPr="005D7929">
        <w:rPr>
          <w:color w:val="000000" w:themeColor="text1"/>
          <w:sz w:val="24"/>
          <w:szCs w:val="24"/>
        </w:rPr>
        <w:t xml:space="preserve"> РФ, предъявляемым к специалистам, выполняющим работы, которые оказывают влияние на безопасность объектов капитального строительства.</w:t>
      </w:r>
    </w:p>
    <w:p w14:paraId="004EA75F" w14:textId="77777777" w:rsidR="005D7929" w:rsidRPr="005D7929" w:rsidRDefault="005D7929" w:rsidP="005D7929">
      <w:pPr>
        <w:numPr>
          <w:ilvl w:val="0"/>
          <w:numId w:val="4"/>
        </w:numPr>
        <w:tabs>
          <w:tab w:val="clear" w:pos="0"/>
          <w:tab w:val="left" w:pos="851"/>
        </w:tabs>
        <w:suppressAutoHyphens w:val="0"/>
        <w:autoSpaceDN w:val="0"/>
        <w:adjustRightInd w:val="0"/>
        <w:spacing w:line="288" w:lineRule="auto"/>
        <w:ind w:right="40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Ответственность за своевременное повышение квалификации руководящих и инженерно-технических работников несет руководитель юридического лица – члена Ассоциации или индивидуальный предприниматель – член Ассоциации.</w:t>
      </w:r>
    </w:p>
    <w:p w14:paraId="6477AA7F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Член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 xml:space="preserve"> вправе сам выбрать образовательное учреждение, в котором будет проходить повышение квалификации его работник.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 xml:space="preserve"> может рекомендовать члену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 xml:space="preserve"> образовательное учреждение, отвечающее требованиям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 xml:space="preserve"> и прошедшее его аккредитацию.</w:t>
      </w:r>
    </w:p>
    <w:p w14:paraId="5DD4B2D0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В случае если работник члена Ассоциации в течение последних 5 лет перед принятием его на работу к члену Ассоциации или перед вступлением в силу настоящего Положения уже проходил повышение квалификации в организации, проводящей повышение квалификации, то он имеет право не проходить повышение квалификации до истечения пятилетнего срока прохождения повышения квалификации.</w:t>
      </w:r>
    </w:p>
    <w:p w14:paraId="43DCB446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Повышение квалификации работников осуществляется на основе договоров, заключаемых образовательными учреждениями с членами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>.</w:t>
      </w:r>
    </w:p>
    <w:p w14:paraId="04FCABB0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 xml:space="preserve">Повышение квалификации является платным. Стоимость обучения по программам повышения квалификации определяется образовательным учреждением. Расходы по повышению квалификации работников несут члены </w:t>
      </w:r>
      <w:r w:rsidR="00D04E24">
        <w:rPr>
          <w:color w:val="000000" w:themeColor="text1"/>
          <w:sz w:val="24"/>
          <w:szCs w:val="24"/>
        </w:rPr>
        <w:t>АСО «АСП»</w:t>
      </w:r>
      <w:r w:rsidRPr="005D7929">
        <w:rPr>
          <w:color w:val="000000" w:themeColor="text1"/>
          <w:sz w:val="24"/>
          <w:szCs w:val="24"/>
        </w:rPr>
        <w:t>.</w:t>
      </w:r>
    </w:p>
    <w:p w14:paraId="6C5332A3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По результатам освоения образовательных программ повышения квалификации проводится итоговая аттестация.</w:t>
      </w:r>
    </w:p>
    <w:p w14:paraId="4ECA7DCB" w14:textId="77777777" w:rsidR="005D7929" w:rsidRPr="005D7929" w:rsidRDefault="005D7929" w:rsidP="005D7929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По итогам повышения квалификации выдается Удостоверение (Свидетельство) о повышении квалификации государственного образца соответствующим учебным учреждением (организацией), в котором работник проходил повышение квалификации, по правилам, предусмотренным законодательством Российской Федерации.</w:t>
      </w:r>
    </w:p>
    <w:p w14:paraId="4948A1D9" w14:textId="77777777" w:rsidR="005D7929" w:rsidRPr="005D7929" w:rsidRDefault="005D7929" w:rsidP="005D7929">
      <w:pPr>
        <w:pStyle w:val="1"/>
        <w:spacing w:before="240" w:after="240"/>
        <w:jc w:val="center"/>
        <w:rPr>
          <w:color w:val="000000" w:themeColor="text1"/>
        </w:rPr>
      </w:pPr>
      <w:bookmarkStart w:id="6" w:name="_Toc465153974"/>
      <w:bookmarkStart w:id="7" w:name="_Toc483386920"/>
      <w:r w:rsidRPr="005D7929">
        <w:rPr>
          <w:color w:val="000000" w:themeColor="text1"/>
        </w:rPr>
        <w:t>3. Требования к системе аттестации работников</w:t>
      </w:r>
      <w:bookmarkStart w:id="8" w:name="_Toc465153864"/>
      <w:r w:rsidRPr="005D7929">
        <w:rPr>
          <w:color w:val="000000" w:themeColor="text1"/>
          <w:lang w:val="ru-RU"/>
        </w:rPr>
        <w:t xml:space="preserve"> </w:t>
      </w:r>
      <w:r w:rsidRPr="005D7929">
        <w:rPr>
          <w:color w:val="000000" w:themeColor="text1"/>
        </w:rPr>
        <w:t xml:space="preserve">членов </w:t>
      </w:r>
      <w:r w:rsidR="00D04E24">
        <w:rPr>
          <w:color w:val="000000" w:themeColor="text1"/>
        </w:rPr>
        <w:t>АСО «АСП»</w:t>
      </w:r>
      <w:r w:rsidRPr="005D7929">
        <w:rPr>
          <w:color w:val="000000" w:themeColor="text1"/>
        </w:rPr>
        <w:t>, выполняющих работы по строительству, реконструкции и капитальному ремонту особо опасных, технически сложных объектов (в том числе объектов использования атомной энергии)</w:t>
      </w:r>
      <w:bookmarkEnd w:id="6"/>
      <w:bookmarkEnd w:id="7"/>
      <w:bookmarkEnd w:id="8"/>
    </w:p>
    <w:p w14:paraId="0275D827" w14:textId="77777777" w:rsidR="005D7929" w:rsidRPr="005D7929" w:rsidRDefault="005D7929" w:rsidP="005D7929">
      <w:pPr>
        <w:spacing w:before="120" w:line="288" w:lineRule="auto"/>
        <w:jc w:val="both"/>
        <w:rPr>
          <w:rFonts w:eastAsia="Calibri" w:cs="Times New Roman"/>
          <w:color w:val="000000" w:themeColor="text1"/>
          <w:sz w:val="24"/>
          <w:szCs w:val="22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3.1.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>Настоящие требования  предъявляются к системе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аттестацию, устанавливают порядок организации работы по подготовке и аттестации специалистов (должностных лиц) организаций, осуществляющих в отношении опасного производственного объекта, объекта энергетики, объекта, на котором эксплуатируются тепловые электроустановки и сети, гидротехнического сооружения (далее - объекты) их, строительство, реконструкцию, капитальный ремонт, консервацию и ликвидацию, а также изготовление, монтаж, наладку, применяемых на них технических устройств, технических средств, машин и оборудования, а также подготовку и переподготовку руководителей и специалистов по вопросам безопасности.</w:t>
      </w:r>
    </w:p>
    <w:p w14:paraId="7DF20D3B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rPr>
          <w:rFonts w:eastAsia="Calibri" w:cs="Times New Roman"/>
          <w:color w:val="000000" w:themeColor="text1"/>
          <w:sz w:val="24"/>
          <w:szCs w:val="22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3.2.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>Подготовка и аттестация специалистов по вопросам безопасности проводится в объеме, соответствующем должностным обязанностям.</w:t>
      </w:r>
    </w:p>
    <w:p w14:paraId="49F29210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rPr>
          <w:rFonts w:eastAsia="Calibri" w:cs="Times New Roman"/>
          <w:color w:val="000000" w:themeColor="text1"/>
          <w:sz w:val="24"/>
          <w:szCs w:val="22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3.3.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 xml:space="preserve">При аттестации по вопросам безопасности может проводиться проверка знаний: </w:t>
      </w:r>
    </w:p>
    <w:p w14:paraId="79DA4381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ind w:left="425"/>
        <w:rPr>
          <w:rFonts w:eastAsia="Calibri" w:cs="Times New Roman"/>
          <w:color w:val="000000" w:themeColor="text1"/>
          <w:sz w:val="24"/>
          <w:szCs w:val="22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а)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 xml:space="preserve">общих требований промышленной безопасности, установленных федеральными законами и иными нормативными правовыми актами Российской Федерации; </w:t>
      </w:r>
    </w:p>
    <w:p w14:paraId="455CA7F2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ind w:left="425"/>
        <w:rPr>
          <w:rFonts w:eastAsia="Calibri" w:cs="Times New Roman"/>
          <w:color w:val="000000" w:themeColor="text1"/>
          <w:sz w:val="24"/>
          <w:szCs w:val="22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б)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>требований промышленной безопасности по специальным вопросам, отнесенным к компетенции аттестуемого, установленным в нормативных правовых актах и нормативно-технических документах;</w:t>
      </w:r>
    </w:p>
    <w:p w14:paraId="0EA3C0F7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ind w:left="425"/>
        <w:rPr>
          <w:rFonts w:eastAsia="Calibri" w:cs="Times New Roman"/>
          <w:color w:val="000000" w:themeColor="text1"/>
          <w:sz w:val="24"/>
          <w:szCs w:val="22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г)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 xml:space="preserve">требований энергетической безопасности, установленных федеральными законами и иными нормативными правовыми актами Российской Федерации и нормативно-техническими документами; </w:t>
      </w:r>
    </w:p>
    <w:p w14:paraId="3B2E733C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ind w:left="425"/>
        <w:rPr>
          <w:rFonts w:cs="Times New Roman"/>
          <w:b/>
          <w:color w:val="000000" w:themeColor="text1"/>
          <w:sz w:val="22"/>
          <w:szCs w:val="28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д)</w:t>
      </w: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ab/>
        <w:t>требований безопасности гидротехнических сооружений, установленных федеральными законами и иными нормативными правовыми актами Российской Федерации и нормативно-техническими документами.</w:t>
      </w:r>
    </w:p>
    <w:p w14:paraId="0007A4C9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3.4.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Аттестация специалистов проводится в комиссиях организаций, в которых работают аттестуемые,</w:t>
      </w:r>
      <w:r w:rsidRPr="005D7929">
        <w:rPr>
          <w:rFonts w:ascii="Calibri" w:hAnsi="Calibri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в аттестационных комиссиях организации-заказчика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, а также в аттестационных комиссиях Федеральной службы по экологическом, технологическому и атомному надзору (Центральная аттестационная комиссия, территориальные аттестационные комиссии), работа которых регламентируется Приказом Ростехнадзора № 591 от 12.07.2010.</w:t>
      </w:r>
    </w:p>
    <w:p w14:paraId="40495A48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3.5.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Первичная аттестация специалистов проводится не позднее одного месяца:</w:t>
      </w:r>
    </w:p>
    <w:p w14:paraId="59195CE4" w14:textId="77777777" w:rsidR="005D7929" w:rsidRPr="005D7929" w:rsidRDefault="005D7929" w:rsidP="005D792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 w:val="0"/>
        <w:autoSpaceDE/>
        <w:autoSpaceDN w:val="0"/>
        <w:spacing w:after="200" w:line="288" w:lineRule="auto"/>
        <w:ind w:left="426" w:firstLine="0"/>
        <w:contextualSpacing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при назначении на должность;</w:t>
      </w:r>
    </w:p>
    <w:p w14:paraId="3D0D6B0C" w14:textId="77777777" w:rsidR="005D7929" w:rsidRPr="005D7929" w:rsidRDefault="005D7929" w:rsidP="005D792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 w:val="0"/>
        <w:autoSpaceDE/>
        <w:autoSpaceDN w:val="0"/>
        <w:spacing w:line="288" w:lineRule="auto"/>
        <w:ind w:left="425" w:firstLine="0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при переводе на другую работу, если при осуществлении должностных обязанностей на этой работе требуется проведение аттестации по другим областям аттестации;</w:t>
      </w:r>
    </w:p>
    <w:p w14:paraId="46D08B7E" w14:textId="77777777" w:rsidR="005D7929" w:rsidRPr="005D7929" w:rsidRDefault="005D7929" w:rsidP="005D792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 w:val="0"/>
        <w:autoSpaceDE/>
        <w:autoSpaceDN w:val="0"/>
        <w:spacing w:line="288" w:lineRule="auto"/>
        <w:ind w:left="425" w:firstLine="0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при переходе из одной организации в другую, если при осуществлении должностных обязанностей на работе в данной организации требуется проведение аттестации по другим областям аттестации.</w:t>
      </w:r>
    </w:p>
    <w:p w14:paraId="49843C56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3.6.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 xml:space="preserve">Периодическая аттестация специалистов проводится один раз в пять лет, если другие сроки не предусмотрены нормативными актами </w:t>
      </w: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Федеральной службы по экологическому, технологическому и атомному надзору.</w:t>
      </w:r>
    </w:p>
    <w:p w14:paraId="710B87BB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3.7.</w:t>
      </w:r>
      <w:r w:rsidRPr="005D7929">
        <w:rPr>
          <w:rFonts w:ascii="Calibri" w:eastAsia="Calibri" w:hAnsi="Calibri" w:cs="Times New Roman"/>
          <w:color w:val="000000" w:themeColor="text1"/>
          <w:sz w:val="24"/>
          <w:szCs w:val="22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Внеочередная проверка знаний нормативных правовых актов и нормативно- технических документов, устанавливающих требования безопасности по вопросам, отнесенным к компетенции руководителя организации и специалиста, проводится после ввода в действие новых нормативных правовых актов и нормативно-технических документов. Внеочередная проверка знаний проводится также по решению руководителя территориального органа Федеральной службы по экологическому, технологическому и атомному надзору по предписанию должностного лица Федеральной службы по экологическому, технологическому и атомному надзору при установлении недостаточных знаний требований безопасности специалистами, аттестованными в аттестационных комиссиях поднадзорных организаций.</w:t>
      </w:r>
    </w:p>
    <w:p w14:paraId="6262FEA0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3.8.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Внеочередной аттестации в Центральной аттестационной комиссии Федеральной службы по экологическому, технологическому и атомному надзору подлежат руководитель и/или лица, на которых возложена ответственность за безопасное ведение работ на объекте, на котором произошли авария или несчастный случай со смертельным исходом.</w:t>
      </w:r>
    </w:p>
    <w:p w14:paraId="0ACF3D55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firstLine="421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Допускается проведение внеочередной аттестации в территориальной аттестационной комиссии Федеральной службы по экологическому, технологическому и атомному надзору по решению председателя Центральной аттестационной комиссии или его заместителя.</w:t>
      </w:r>
    </w:p>
    <w:p w14:paraId="4B70AD5C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firstLine="421"/>
        <w:jc w:val="both"/>
        <w:rPr>
          <w:rFonts w:cs="Times New Roman"/>
          <w:color w:val="000000" w:themeColor="text1"/>
          <w:sz w:val="28"/>
          <w:szCs w:val="24"/>
          <w:lang w:eastAsia="ru-RU"/>
        </w:rPr>
      </w:pPr>
      <w:r w:rsidRPr="005D7929">
        <w:rPr>
          <w:rFonts w:eastAsia="Calibri" w:cs="Times New Roman"/>
          <w:color w:val="000000" w:themeColor="text1"/>
          <w:sz w:val="24"/>
          <w:szCs w:val="22"/>
          <w:lang w:eastAsia="en-US"/>
        </w:rPr>
        <w:t>Сведения о лицах, подлежащих внеочередной аттестации в Центральной аттестационной комиссии Федеральной службы по экологическому, технологическому и атомному надзору,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исходом. Указанные сведения представляются в двадцатидневный срок с момента завершения расследования аварии или несчастного случая со смертельным исходом. Допускается проведение внеочередной аттестации в территориальной аттестационной комиссии Федеральной службы по экологическому, технологическому и атомному надзору по решению председателя Центральной аттестационной комиссии или его заместителя.</w:t>
      </w:r>
    </w:p>
    <w:p w14:paraId="3CB78733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hanging="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3.9.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Лица, принимающие решение об аттестации, не должны принимать участие в проведении подготовки.</w:t>
      </w:r>
    </w:p>
    <w:p w14:paraId="67CA9521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3.10.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 xml:space="preserve">Аттестационные комиссии организаций создаются приказом (распоряжением) руководителя организации. В состав аттестационной комиссии организации включаются руководители и главные специалисты организации, руководители и начальники управлений, отделов, осуществляющих производственный и другие виды внутреннего контроля за соблюдением требований безопасности, представители аварийно-спасательных служб и другие высококвалифицированные специалисты. Возглавляет комиссию один из руководителей организации. </w:t>
      </w:r>
    </w:p>
    <w:p w14:paraId="61C7F884" w14:textId="77777777" w:rsidR="005D7929" w:rsidRPr="005D7929" w:rsidRDefault="005D7929" w:rsidP="005D7929">
      <w:pPr>
        <w:widowControl/>
        <w:suppressAutoHyphens w:val="0"/>
        <w:autoSpaceDE/>
        <w:autoSpaceDN w:val="0"/>
        <w:spacing w:line="288" w:lineRule="auto"/>
        <w:ind w:firstLine="482"/>
        <w:rPr>
          <w:rFonts w:cs="Times New Roman"/>
          <w:color w:val="000000" w:themeColor="text1"/>
          <w:sz w:val="24"/>
          <w:szCs w:val="24"/>
          <w:lang w:eastAsia="ru-RU"/>
        </w:rPr>
      </w:pP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 xml:space="preserve">По инициативе председателя аттестационной комиссии организации или его заместителя в состав комиссии по </w:t>
      </w:r>
      <w:proofErr w:type="spellStart"/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согл</w:t>
      </w:r>
      <w:r w:rsidR="00D04E24">
        <w:rPr>
          <w:rFonts w:cs="Times New Roman"/>
          <w:color w:val="000000" w:themeColor="text1"/>
          <w:sz w:val="24"/>
          <w:szCs w:val="24"/>
          <w:lang w:eastAsia="ru-RU"/>
        </w:rPr>
        <w:t>АСО</w:t>
      </w:r>
      <w:proofErr w:type="spellEnd"/>
      <w:r w:rsidR="00D04E24">
        <w:rPr>
          <w:rFonts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D04E24">
        <w:rPr>
          <w:rFonts w:cs="Times New Roman"/>
          <w:color w:val="000000" w:themeColor="text1"/>
          <w:sz w:val="24"/>
          <w:szCs w:val="24"/>
          <w:lang w:eastAsia="ru-RU"/>
        </w:rPr>
        <w:t>АСП»</w:t>
      </w: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>ванию</w:t>
      </w:r>
      <w:proofErr w:type="spellEnd"/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 xml:space="preserve"> могут включаться представители территориальных органов Федеральной службы по экологическому, технологическому и атомному надзору, если обязательность их участия не предусмотрена соответствующими нормативными правовыми актами.</w:t>
      </w:r>
    </w:p>
    <w:p w14:paraId="4F95BE83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3.11.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Аттестация специалистов по вопросам безопасности в организациях осуществляется по графику, утверждаемому руководителем организации. Лица, подлежащие аттестации, должны быть ознакомлены с графиком и местом проведения аттестации.</w:t>
      </w:r>
      <w:r w:rsidRPr="005D7929">
        <w:rPr>
          <w:rFonts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График аттестации направляется в соответствующие территориальные органы Федеральной службы по экологическому, технологическому и атомному надзору в порядке информирования.</w:t>
      </w:r>
    </w:p>
    <w:p w14:paraId="3EBA8A45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hanging="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3.12.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Проверка знаний в аттестационных комиссиях, может проводиться как комплексными, так и отдельными экзаменами. При формировании экзаменационных билетов в них включаются не менее пяти вопросов (тестовых заданий) по каждому из направлений деятельности аттестуемого.</w:t>
      </w:r>
    </w:p>
    <w:p w14:paraId="15575B60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hanging="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3.13.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 xml:space="preserve">В территориальных аттестационных комиссиях Федеральной службы по экологическому, технологическому и атомному надзору проходят аттестацию: </w:t>
      </w:r>
    </w:p>
    <w:p w14:paraId="53593157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firstLine="421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1)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ab/>
        <w:t>руководители и члены аттестационных комиссий организаций, численность работников которых менее 5000 человек;</w:t>
      </w:r>
    </w:p>
    <w:p w14:paraId="1FC6AAAD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firstLine="421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2)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ab/>
        <w:t>иные лица по решению председателя Центральной аттестационной комиссии или его заместителя на основании обращения поднадзорной организации.</w:t>
      </w:r>
    </w:p>
    <w:p w14:paraId="238E810C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hanging="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3.14.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В Центральной аттестационной комиссии Федеральной службы по экологическому, технологическому и атомному надзору проходят аттестацию:</w:t>
      </w:r>
    </w:p>
    <w:p w14:paraId="2CF966CD" w14:textId="77777777" w:rsidR="005D7929" w:rsidRPr="005D7929" w:rsidRDefault="005D7929" w:rsidP="005D7929">
      <w:pPr>
        <w:widowControl/>
        <w:shd w:val="clear" w:color="auto" w:fill="FFFFFF"/>
        <w:tabs>
          <w:tab w:val="left" w:pos="485"/>
        </w:tabs>
        <w:suppressAutoHyphens w:val="0"/>
        <w:autoSpaceDE/>
        <w:autoSpaceDN w:val="0"/>
        <w:spacing w:line="288" w:lineRule="auto"/>
        <w:ind w:left="5" w:firstLine="35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1)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ab/>
        <w:t>члены аттестационных комиссий организаций, численность работников которых превышает 5000 человек;</w:t>
      </w:r>
    </w:p>
    <w:p w14:paraId="76E99E36" w14:textId="77777777" w:rsidR="005D7929" w:rsidRPr="005D7929" w:rsidRDefault="005D7929" w:rsidP="005D7929">
      <w:pPr>
        <w:widowControl/>
        <w:shd w:val="clear" w:color="auto" w:fill="FFFFFF"/>
        <w:tabs>
          <w:tab w:val="left" w:pos="533"/>
        </w:tabs>
        <w:suppressAutoHyphens w:val="0"/>
        <w:autoSpaceDE/>
        <w:autoSpaceDN w:val="0"/>
        <w:spacing w:line="288" w:lineRule="auto"/>
        <w:ind w:left="5" w:firstLine="346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2)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ab/>
        <w:t>иные лица по решению председателя Центральной аттестационной комиссии или его заместителя на основании обращения поднадзорной организации.</w:t>
      </w:r>
    </w:p>
    <w:p w14:paraId="7B67725A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hanging="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3.15.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 xml:space="preserve">Процедура проверки знаний требований безопасности и оформление результатов проверки знаний (выдача разрешений) определяются нормативными правовыми актами, установленными </w:t>
      </w:r>
      <w:r w:rsidRPr="005D7929">
        <w:rPr>
          <w:rFonts w:eastAsia="Calibri" w:cs="Times New Roman"/>
          <w:bCs/>
          <w:color w:val="000000" w:themeColor="text1"/>
          <w:sz w:val="24"/>
          <w:szCs w:val="24"/>
          <w:lang w:eastAsia="en-US"/>
        </w:rPr>
        <w:t>Федеральной службе по экологическому, технологическому и атомному надзору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.</w:t>
      </w:r>
    </w:p>
    <w:p w14:paraId="4A9AE6E6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3.16.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 xml:space="preserve">Требования, к организации и проведению обучения и проверке знаний по безопасности рабочих основных профессий организаций, осуществляющих строительство, эксплуатацию, расширение, реконструкцию, техническое перевооружение, консервацию и ликвидацию объектов </w:t>
      </w:r>
      <w:r w:rsidRPr="005D7929">
        <w:rPr>
          <w:rFonts w:eastAsia="Calibri" w:cs="Times New Roman"/>
          <w:bCs/>
          <w:color w:val="000000" w:themeColor="text1"/>
          <w:sz w:val="24"/>
          <w:szCs w:val="24"/>
          <w:lang w:eastAsia="en-US"/>
        </w:rPr>
        <w:t>поднадзорных Федеральной службе по экологическому, технологическому и атомному надзору</w:t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, установлены Приказом Ростехнадзора от 29 января 2007 № 37.</w:t>
      </w:r>
    </w:p>
    <w:p w14:paraId="3398D74D" w14:textId="77777777" w:rsidR="005D7929" w:rsidRPr="005D7929" w:rsidRDefault="005D7929" w:rsidP="005D7929">
      <w:pPr>
        <w:widowControl/>
        <w:shd w:val="clear" w:color="auto" w:fill="FFFFFF"/>
        <w:tabs>
          <w:tab w:val="left" w:pos="851"/>
        </w:tabs>
        <w:suppressAutoHyphens w:val="0"/>
        <w:autoSpaceDE/>
        <w:autoSpaceDN w:val="0"/>
        <w:spacing w:line="288" w:lineRule="auto"/>
        <w:ind w:left="5" w:hanging="5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>3.17.</w:t>
      </w:r>
      <w:r w:rsidRPr="005D7929">
        <w:rPr>
          <w:rFonts w:eastAsia="Calibri" w:cs="Times New Roman"/>
          <w:bCs/>
          <w:color w:val="000000" w:themeColor="text1"/>
          <w:sz w:val="24"/>
          <w:szCs w:val="28"/>
          <w:lang w:eastAsia="en-US"/>
        </w:rPr>
        <w:tab/>
      </w:r>
      <w:r w:rsidRPr="005D7929">
        <w:rPr>
          <w:rFonts w:eastAsia="Calibri" w:cs="Times New Roman"/>
          <w:color w:val="000000" w:themeColor="text1"/>
          <w:sz w:val="24"/>
          <w:szCs w:val="24"/>
          <w:lang w:eastAsia="en-US"/>
        </w:rPr>
        <w:t>Ответственным за организацию своевременного и качественного обучения и проверки знаний в целом по организации является руководитель организации (работодатель), а в подразделении организации - руководитель подразделения.</w:t>
      </w:r>
    </w:p>
    <w:p w14:paraId="09888556" w14:textId="77777777" w:rsidR="005D7929" w:rsidRPr="005D7929" w:rsidRDefault="005D7929" w:rsidP="005D7929">
      <w:pPr>
        <w:pStyle w:val="1"/>
        <w:spacing w:before="240" w:after="240"/>
        <w:jc w:val="center"/>
        <w:rPr>
          <w:color w:val="000000" w:themeColor="text1"/>
        </w:rPr>
      </w:pPr>
      <w:bookmarkStart w:id="9" w:name="_Toc483386921"/>
      <w:bookmarkStart w:id="10" w:name="_Toc465153976"/>
      <w:r w:rsidRPr="005D7929">
        <w:rPr>
          <w:color w:val="000000" w:themeColor="text1"/>
          <w:lang w:val="ru-RU"/>
        </w:rPr>
        <w:t>4</w:t>
      </w:r>
      <w:r w:rsidRPr="005D7929">
        <w:rPr>
          <w:color w:val="000000" w:themeColor="text1"/>
        </w:rPr>
        <w:t>. Ответственность за неисполнение обязанности по повышению квалификации и аттестации работников</w:t>
      </w:r>
      <w:bookmarkEnd w:id="9"/>
      <w:bookmarkEnd w:id="10"/>
    </w:p>
    <w:p w14:paraId="556FD7FB" w14:textId="77777777" w:rsidR="005D7929" w:rsidRPr="005D7929" w:rsidRDefault="005D7929" w:rsidP="005D7929">
      <w:pPr>
        <w:shd w:val="clear" w:color="auto" w:fill="FFFFFF"/>
        <w:tabs>
          <w:tab w:val="left" w:pos="709"/>
        </w:tabs>
        <w:spacing w:line="288" w:lineRule="auto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4.1.</w:t>
      </w:r>
      <w:r w:rsidRPr="005D7929">
        <w:rPr>
          <w:color w:val="000000" w:themeColor="text1"/>
          <w:sz w:val="24"/>
          <w:szCs w:val="24"/>
        </w:rPr>
        <w:tab/>
        <w:t>В соответствии со ст. 196 ТК РФ в случаях, предусмотренных федеральными законами, иными нормативными правовыми актами Российской Федерации, работодатель обязан проводить повышение квалификации работников, если это является условием выполнения работниками определенных видов деятельности.</w:t>
      </w:r>
    </w:p>
    <w:p w14:paraId="3EBDAAAD" w14:textId="77777777" w:rsidR="005D7929" w:rsidRPr="005D7929" w:rsidRDefault="005D7929" w:rsidP="005D7929">
      <w:pPr>
        <w:shd w:val="clear" w:color="auto" w:fill="FFFFFF"/>
        <w:tabs>
          <w:tab w:val="left" w:pos="709"/>
        </w:tabs>
        <w:spacing w:line="288" w:lineRule="auto"/>
        <w:ind w:left="14" w:hanging="14"/>
        <w:jc w:val="both"/>
        <w:rPr>
          <w:color w:val="000000" w:themeColor="text1"/>
          <w:sz w:val="24"/>
          <w:szCs w:val="24"/>
        </w:rPr>
      </w:pPr>
      <w:r w:rsidRPr="005D7929">
        <w:rPr>
          <w:color w:val="000000" w:themeColor="text1"/>
          <w:sz w:val="24"/>
          <w:szCs w:val="24"/>
        </w:rPr>
        <w:t>4.2.</w:t>
      </w:r>
      <w:r w:rsidRPr="005D7929">
        <w:rPr>
          <w:color w:val="000000" w:themeColor="text1"/>
          <w:sz w:val="24"/>
          <w:szCs w:val="24"/>
        </w:rPr>
        <w:tab/>
        <w:t>За несоблюдение требований к выдаче свидетельств о допуске саморегулируемая организация применяет в отношении своих членов меры дисциплинарного воздействия.</w:t>
      </w:r>
    </w:p>
    <w:p w14:paraId="0D49774F" w14:textId="77777777" w:rsidR="005D7929" w:rsidRPr="005D7929" w:rsidRDefault="005D7929" w:rsidP="005D7929">
      <w:pPr>
        <w:keepNext/>
        <w:keepLines/>
        <w:widowControl/>
        <w:suppressAutoHyphens w:val="0"/>
        <w:autoSpaceDE/>
        <w:autoSpaceDN w:val="0"/>
        <w:spacing w:before="480" w:after="360"/>
        <w:jc w:val="center"/>
        <w:outlineLvl w:val="0"/>
        <w:rPr>
          <w:rFonts w:ascii="Cambria" w:hAnsi="Cambria" w:cs="Times New Roman"/>
          <w:b/>
          <w:bCs/>
          <w:color w:val="000000" w:themeColor="text1"/>
          <w:sz w:val="28"/>
          <w:szCs w:val="28"/>
          <w:lang w:val="x-none" w:eastAsia="x-none"/>
        </w:rPr>
      </w:pPr>
      <w:bookmarkStart w:id="11" w:name="_Toc483386922"/>
      <w:bookmarkStart w:id="12" w:name="_Toc483386598"/>
      <w:bookmarkStart w:id="13" w:name="_Toc463922420"/>
      <w:r w:rsidRPr="005D7929">
        <w:rPr>
          <w:rFonts w:ascii="Cambria" w:hAnsi="Cambria" w:cs="Times New Roman"/>
          <w:b/>
          <w:bCs/>
          <w:color w:val="000000" w:themeColor="text1"/>
          <w:sz w:val="28"/>
          <w:szCs w:val="28"/>
          <w:lang w:eastAsia="x-none"/>
        </w:rPr>
        <w:t xml:space="preserve">5. </w:t>
      </w:r>
      <w:r w:rsidR="00CD6650">
        <w:rPr>
          <w:rFonts w:ascii="Cambria" w:hAnsi="Cambria" w:cs="Times New Roman"/>
          <w:b/>
          <w:bCs/>
          <w:color w:val="000000" w:themeColor="text1"/>
          <w:sz w:val="28"/>
          <w:szCs w:val="28"/>
          <w:lang w:eastAsia="x-none"/>
        </w:rPr>
        <w:t>Заключительные положения</w:t>
      </w:r>
      <w:bookmarkEnd w:id="11"/>
      <w:bookmarkEnd w:id="12"/>
      <w:bookmarkEnd w:id="13"/>
      <w:r w:rsidRPr="005D7929">
        <w:rPr>
          <w:rFonts w:ascii="Cambria" w:hAnsi="Cambria" w:cs="Times New Roman"/>
          <w:b/>
          <w:bCs/>
          <w:color w:val="000000" w:themeColor="text1"/>
          <w:sz w:val="28"/>
          <w:szCs w:val="28"/>
          <w:lang w:val="x-none" w:eastAsia="x-none"/>
        </w:rPr>
        <w:t xml:space="preserve"> </w:t>
      </w:r>
    </w:p>
    <w:p w14:paraId="5672B79D" w14:textId="77777777" w:rsidR="005D7929" w:rsidRPr="00EB5374" w:rsidRDefault="00EB5374" w:rsidP="004142CD">
      <w:pPr>
        <w:widowControl/>
        <w:suppressAutoHyphens w:val="0"/>
        <w:autoSpaceDE/>
        <w:autoSpaceDN w:val="0"/>
        <w:spacing w:line="36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 w:rsidRPr="00EB5374">
        <w:rPr>
          <w:rFonts w:eastAsia="Calibri" w:cs="Times New Roman"/>
          <w:color w:val="000000" w:themeColor="text1"/>
          <w:sz w:val="24"/>
          <w:szCs w:val="24"/>
          <w:lang w:eastAsia="ru-RU"/>
        </w:rPr>
        <w:t>5.1.</w:t>
      </w:r>
      <w:r w:rsidR="00A417FC">
        <w:rPr>
          <w:rFonts w:eastAsia="Calibri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D7929" w:rsidRPr="00EB5374">
        <w:rPr>
          <w:rFonts w:eastAsia="Calibri" w:cs="Times New Roman"/>
          <w:color w:val="000000" w:themeColor="text1"/>
          <w:sz w:val="24"/>
          <w:szCs w:val="24"/>
          <w:lang w:eastAsia="ru-RU"/>
        </w:rPr>
        <w:t>Настоящее положение вступает в силу с 01.07.2017 год</w:t>
      </w:r>
      <w:r w:rsidR="005D7929" w:rsidRPr="00EB5374">
        <w:rPr>
          <w:rFonts w:eastAsia="Calibri" w:cs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09FAD86E" w14:textId="77777777" w:rsidR="00AD0B5A" w:rsidRPr="00EB5374" w:rsidRDefault="00EB5374" w:rsidP="004142CD">
      <w:pPr>
        <w:widowControl/>
        <w:suppressAutoHyphens w:val="0"/>
        <w:autoSpaceDE/>
        <w:autoSpaceDN w:val="0"/>
        <w:spacing w:line="360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en-US"/>
        </w:rPr>
      </w:pPr>
      <w:r>
        <w:rPr>
          <w:sz w:val="24"/>
          <w:szCs w:val="24"/>
        </w:rPr>
        <w:t xml:space="preserve">5.2. </w:t>
      </w:r>
      <w:r w:rsidR="00A417FC">
        <w:rPr>
          <w:sz w:val="24"/>
          <w:szCs w:val="24"/>
        </w:rPr>
        <w:t xml:space="preserve">  </w:t>
      </w:r>
      <w:r w:rsidR="00AD0B5A" w:rsidRPr="00EB5374">
        <w:rPr>
          <w:sz w:val="24"/>
          <w:szCs w:val="24"/>
        </w:rPr>
        <w:t>Настоящее Положение составлено в двух экземплярах, имеющих равную юридическую силу. Первый экземпляр находится в Ассоциации, второй экземпляр направляется в орган надзора за саморегулируемыми организациями.</w:t>
      </w:r>
    </w:p>
    <w:sectPr w:rsidR="00AD0B5A" w:rsidRPr="00EB537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5FF5" w14:textId="77777777" w:rsidR="00601752" w:rsidRDefault="00601752" w:rsidP="00727823">
      <w:r>
        <w:separator/>
      </w:r>
    </w:p>
  </w:endnote>
  <w:endnote w:type="continuationSeparator" w:id="0">
    <w:p w14:paraId="0B9067D8" w14:textId="77777777" w:rsidR="00601752" w:rsidRDefault="00601752" w:rsidP="0072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9902455"/>
      <w:docPartObj>
        <w:docPartGallery w:val="Page Numbers (Bottom of Page)"/>
        <w:docPartUnique/>
      </w:docPartObj>
    </w:sdtPr>
    <w:sdtEndPr/>
    <w:sdtContent>
      <w:p w14:paraId="135D96BA" w14:textId="77777777" w:rsidR="00727823" w:rsidRDefault="007278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FC">
          <w:rPr>
            <w:noProof/>
          </w:rPr>
          <w:t>8</w:t>
        </w:r>
        <w:r>
          <w:fldChar w:fldCharType="end"/>
        </w:r>
      </w:p>
    </w:sdtContent>
  </w:sdt>
  <w:p w14:paraId="086C171E" w14:textId="77777777" w:rsidR="00727823" w:rsidRDefault="00727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2D784" w14:textId="77777777" w:rsidR="00601752" w:rsidRDefault="00601752" w:rsidP="00727823">
      <w:r>
        <w:separator/>
      </w:r>
    </w:p>
  </w:footnote>
  <w:footnote w:type="continuationSeparator" w:id="0">
    <w:p w14:paraId="1FC3F751" w14:textId="77777777" w:rsidR="00601752" w:rsidRDefault="00601752" w:rsidP="0072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4C352DC"/>
    <w:multiLevelType w:val="hybridMultilevel"/>
    <w:tmpl w:val="C25A6F16"/>
    <w:lvl w:ilvl="0" w:tplc="8DA44A20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vanish w:val="0"/>
        <w:webHidden w:val="0"/>
        <w:sz w:val="24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5D03"/>
    <w:multiLevelType w:val="hybridMultilevel"/>
    <w:tmpl w:val="DF2E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1250"/>
    <w:multiLevelType w:val="hybridMultilevel"/>
    <w:tmpl w:val="FDA64D1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815279"/>
    <w:multiLevelType w:val="hybridMultilevel"/>
    <w:tmpl w:val="51CEA712"/>
    <w:name w:val="WW8Num1722"/>
    <w:lvl w:ilvl="0" w:tplc="5E72AFB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47ADD"/>
    <w:multiLevelType w:val="hybridMultilevel"/>
    <w:tmpl w:val="9A1CCA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7B"/>
    <w:rsid w:val="00036D7B"/>
    <w:rsid w:val="00154DC4"/>
    <w:rsid w:val="00300596"/>
    <w:rsid w:val="004142CD"/>
    <w:rsid w:val="00456EE7"/>
    <w:rsid w:val="005D7929"/>
    <w:rsid w:val="005F68E7"/>
    <w:rsid w:val="00601752"/>
    <w:rsid w:val="00727823"/>
    <w:rsid w:val="008A4CC8"/>
    <w:rsid w:val="00965BB3"/>
    <w:rsid w:val="009873FD"/>
    <w:rsid w:val="00A417FC"/>
    <w:rsid w:val="00AD0B5A"/>
    <w:rsid w:val="00BB2176"/>
    <w:rsid w:val="00BE2BC4"/>
    <w:rsid w:val="00BF0C93"/>
    <w:rsid w:val="00BF7D27"/>
    <w:rsid w:val="00CD6650"/>
    <w:rsid w:val="00D04E24"/>
    <w:rsid w:val="00DF5104"/>
    <w:rsid w:val="00E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3262"/>
  <w15:chartTrackingRefBased/>
  <w15:docId w15:val="{4010E3EC-D70A-4ABC-B5D4-88E61698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929"/>
    <w:pPr>
      <w:keepNext/>
      <w:keepLines/>
      <w:spacing w:before="480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29"/>
    <w:rPr>
      <w:rFonts w:ascii="Cambria" w:eastAsia="SimSun" w:hAnsi="Cambria" w:cs="Times New Roman"/>
      <w:b/>
      <w:bCs/>
      <w:color w:val="365F91"/>
      <w:sz w:val="28"/>
      <w:szCs w:val="28"/>
      <w:lang w:val="x-none" w:eastAsia="ar-SA"/>
    </w:rPr>
  </w:style>
  <w:style w:type="character" w:styleId="a3">
    <w:name w:val="Hyperlink"/>
    <w:uiPriority w:val="99"/>
    <w:semiHidden/>
    <w:unhideWhenUsed/>
    <w:rsid w:val="005D792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D7929"/>
    <w:pPr>
      <w:spacing w:before="120" w:after="120"/>
    </w:pPr>
    <w:rPr>
      <w:rFonts w:ascii="Calibri" w:hAnsi="Calibri"/>
      <w:b/>
      <w:bCs/>
      <w:caps/>
    </w:rPr>
  </w:style>
  <w:style w:type="paragraph" w:styleId="a4">
    <w:name w:val="List Paragraph"/>
    <w:basedOn w:val="a"/>
    <w:uiPriority w:val="34"/>
    <w:qFormat/>
    <w:rsid w:val="005D79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78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82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278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823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7;&#1088;&#1075;&#1077;&#1081;\Desktop\&#1055;&#1086;&#1076;&#1090;&#1074;&#1077;&#1088;&#1078;&#1076;&#1077;&#1085;&#1080;&#1077;%20&#1089;&#1086;&#1086;&#1090;&#1074;&#1077;&#1090;&#1089;&#1090;&#1074;&#1080;&#1103;\&#1040;&#1057;&#1055;\&#1044;&#1054;&#1050;&#1059;&#1052;&#1045;&#1053;&#1058;&#1067;%20&#1057;&#1054;&#1042;&#1045;&#1058;&#1040;%20&#1076;&#1086;&#1082;\attestacia_and_high_kvalifity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77;&#1088;&#1075;&#1077;&#1081;\Desktop\&#1055;&#1086;&#1076;&#1090;&#1074;&#1077;&#1088;&#1078;&#1076;&#1077;&#1085;&#1080;&#1077;%20&#1089;&#1086;&#1086;&#1090;&#1074;&#1077;&#1090;&#1089;&#1090;&#1074;&#1080;&#1103;\&#1040;&#1057;&#1055;\&#1044;&#1054;&#1050;&#1059;&#1052;&#1045;&#1053;&#1058;&#1067;%20&#1057;&#1054;&#1042;&#1045;&#1058;&#1040;%20&#1076;&#1086;&#1082;\attestacia_and_high_kvalifity.doc" TargetMode="External"/><Relationship Id="rId12" Type="http://schemas.openxmlformats.org/officeDocument/2006/relationships/hyperlink" Target="file:///C:\Users\&#1057;&#1077;&#1088;&#1075;&#1077;&#1081;\Desktop\&#1055;&#1086;&#1076;&#1090;&#1074;&#1077;&#1088;&#1078;&#1076;&#1077;&#1085;&#1080;&#1077;%20&#1089;&#1086;&#1086;&#1090;&#1074;&#1077;&#1090;&#1089;&#1090;&#1074;&#1080;&#1103;\&#1040;&#1057;&#1055;\&#1044;&#1054;&#1050;&#1059;&#1052;&#1045;&#1053;&#1058;&#1067;%20&#1057;&#1054;&#1042;&#1045;&#1058;&#1040;%20&#1076;&#1086;&#1082;\attestacia_and_high_kvalifit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7;&#1077;&#1088;&#1075;&#1077;&#1081;\Desktop\&#1055;&#1086;&#1076;&#1090;&#1074;&#1077;&#1088;&#1078;&#1076;&#1077;&#1085;&#1080;&#1077;%20&#1089;&#1086;&#1086;&#1090;&#1074;&#1077;&#1090;&#1089;&#1090;&#1074;&#1080;&#1103;\&#1040;&#1057;&#1055;\&#1044;&#1054;&#1050;&#1059;&#1052;&#1045;&#1053;&#1058;&#1067;%20&#1057;&#1054;&#1042;&#1045;&#1058;&#1040;%20&#1076;&#1086;&#1082;\attestacia_and_high_kvalifity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7;&#1077;&#1088;&#1075;&#1077;&#1081;\Desktop\&#1055;&#1086;&#1076;&#1090;&#1074;&#1077;&#1088;&#1078;&#1076;&#1077;&#1085;&#1080;&#1077;%20&#1089;&#1086;&#1086;&#1090;&#1074;&#1077;&#1090;&#1089;&#1090;&#1074;&#1080;&#1103;\&#1040;&#1057;&#1055;\&#1044;&#1054;&#1050;&#1059;&#1052;&#1045;&#1053;&#1058;&#1067;%20&#1057;&#1054;&#1042;&#1045;&#1058;&#1040;%20&#1076;&#1086;&#1082;\attestacia_and_high_kvalifity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77;&#1088;&#1075;&#1077;&#1081;\Desktop\&#1055;&#1086;&#1076;&#1090;&#1074;&#1077;&#1088;&#1078;&#1076;&#1077;&#1085;&#1080;&#1077;%20&#1089;&#1086;&#1086;&#1090;&#1074;&#1077;&#1090;&#1089;&#1090;&#1074;&#1080;&#1103;\&#1040;&#1057;&#1055;\&#1044;&#1054;&#1050;&#1059;&#1052;&#1045;&#1053;&#1058;&#1067;%20&#1057;&#1054;&#1042;&#1045;&#1058;&#1040;%20&#1076;&#1086;&#1082;\attestacia_and_high_kvalifity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Яковлева Ксения</cp:lastModifiedBy>
  <cp:revision>2</cp:revision>
  <dcterms:created xsi:type="dcterms:W3CDTF">2020-06-15T01:39:00Z</dcterms:created>
  <dcterms:modified xsi:type="dcterms:W3CDTF">2020-06-15T01:39:00Z</dcterms:modified>
</cp:coreProperties>
</file>